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4C06A8EE" w:rsidR="00971F51" w:rsidRPr="00C51EB4" w:rsidRDefault="50DE5CCE" w:rsidP="00880D50">
      <w:pPr>
        <w:spacing w:line="276" w:lineRule="auto"/>
        <w:ind w:firstLine="280"/>
        <w:jc w:val="center"/>
        <w:rPr>
          <w:rFonts w:ascii="Arial" w:hAnsi="Arial" w:cs="Arial"/>
          <w:b/>
          <w:bCs/>
          <w:sz w:val="22"/>
          <w:szCs w:val="22"/>
        </w:rPr>
      </w:pPr>
      <w:bookmarkStart w:id="0" w:name="_Hlk58402369"/>
      <w:bookmarkStart w:id="1" w:name="_Hlk59955910"/>
      <w:r w:rsidRPr="73CC8A29">
        <w:rPr>
          <w:rFonts w:ascii="Arial" w:hAnsi="Arial" w:cs="Arial"/>
          <w:b/>
          <w:bCs/>
          <w:sz w:val="22"/>
          <w:szCs w:val="22"/>
        </w:rPr>
        <w:t>“</w:t>
      </w:r>
      <w:r w:rsidR="2A1E255B" w:rsidRPr="73CC8A29">
        <w:rPr>
          <w:rFonts w:ascii="Arial" w:hAnsi="Arial" w:cs="Arial"/>
          <w:b/>
          <w:bCs/>
          <w:sz w:val="22"/>
          <w:szCs w:val="22"/>
        </w:rPr>
        <w:t xml:space="preserve">Por la cual se establece el Plan Anual de Incentivos </w:t>
      </w:r>
      <w:r w:rsidR="2A1E255B" w:rsidRPr="73CC8A29">
        <w:rPr>
          <w:rFonts w:ascii="Arial" w:hAnsi="Arial" w:cs="Arial"/>
          <w:sz w:val="22"/>
          <w:szCs w:val="22"/>
        </w:rPr>
        <w:t>para</w:t>
      </w:r>
      <w:r w:rsidR="2A1E255B" w:rsidRPr="73CC8A29">
        <w:rPr>
          <w:rFonts w:ascii="Arial" w:hAnsi="Arial" w:cs="Arial"/>
          <w:b/>
          <w:bCs/>
          <w:sz w:val="22"/>
          <w:szCs w:val="22"/>
        </w:rPr>
        <w:t xml:space="preserve"> el Año 2024 y se dictan otras disposiciones</w:t>
      </w:r>
      <w:r w:rsidRPr="73CC8A29">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15DE8FC1" w14:textId="3415E9D2" w:rsidR="001A7638" w:rsidRDefault="003070BD" w:rsidP="00451BD0">
      <w:pPr>
        <w:jc w:val="center"/>
        <w:rPr>
          <w:rFonts w:ascii="Arial" w:hAnsi="Arial" w:cs="Arial"/>
          <w:sz w:val="22"/>
          <w:szCs w:val="22"/>
        </w:rPr>
      </w:pPr>
      <w:r w:rsidRPr="003070BD">
        <w:rPr>
          <w:rFonts w:ascii="Arial" w:hAnsi="Arial" w:cs="Arial"/>
          <w:sz w:val="22"/>
          <w:szCs w:val="22"/>
        </w:rPr>
        <w:t>En ejercicio de las facultades conferidas por los Artículos 218 y 220 del Estatuto Orgánico del Sistema Financiero, las Leyes 16 de 1990, 101 de 1993, 1133 de 2007, 1731 de 2014, el Decreto-Ley 2371 de 2015, y los Decretos 1313 de 1990, 626 de 1994, 1071 de 2015, y</w:t>
      </w:r>
    </w:p>
    <w:p w14:paraId="7432D5C8" w14:textId="77777777" w:rsidR="003070BD" w:rsidRDefault="003070BD" w:rsidP="00451BD0">
      <w:pPr>
        <w:jc w:val="center"/>
        <w:rPr>
          <w:rFonts w:ascii="Arial" w:hAnsi="Arial" w:cs="Arial"/>
          <w:sz w:val="22"/>
          <w:szCs w:val="22"/>
        </w:rPr>
      </w:pPr>
    </w:p>
    <w:p w14:paraId="08FD9C16" w14:textId="77777777" w:rsidR="003070BD" w:rsidRDefault="003070BD" w:rsidP="00451BD0">
      <w:pPr>
        <w:jc w:val="center"/>
        <w:rPr>
          <w:rFonts w:ascii="Arial" w:hAnsi="Arial" w:cs="Arial"/>
          <w:sz w:val="22"/>
          <w:szCs w:val="22"/>
        </w:rPr>
      </w:pPr>
    </w:p>
    <w:p w14:paraId="2A01DDEF" w14:textId="77777777" w:rsidR="00880D50" w:rsidRDefault="00880D50" w:rsidP="00880D50">
      <w:pPr>
        <w:jc w:val="center"/>
        <w:rPr>
          <w:rFonts w:ascii="Arial" w:hAnsi="Arial" w:cs="Arial"/>
          <w:b/>
          <w:sz w:val="22"/>
          <w:szCs w:val="22"/>
        </w:rPr>
      </w:pPr>
      <w:r w:rsidRPr="00C51EB4">
        <w:rPr>
          <w:rFonts w:ascii="Arial" w:hAnsi="Arial" w:cs="Arial"/>
          <w:b/>
          <w:sz w:val="22"/>
          <w:szCs w:val="22"/>
        </w:rPr>
        <w:t>CONSIDERANDO:</w:t>
      </w:r>
    </w:p>
    <w:p w14:paraId="6168F2B4" w14:textId="77777777" w:rsidR="0012756E" w:rsidRDefault="0012756E" w:rsidP="00880D50">
      <w:pPr>
        <w:jc w:val="center"/>
        <w:rPr>
          <w:rFonts w:ascii="Arial" w:hAnsi="Arial" w:cs="Arial"/>
          <w:b/>
          <w:sz w:val="22"/>
          <w:szCs w:val="22"/>
        </w:rPr>
      </w:pPr>
    </w:p>
    <w:p w14:paraId="670065D1" w14:textId="77777777" w:rsidR="0012756E" w:rsidRPr="00C51EB4" w:rsidRDefault="0012756E" w:rsidP="00880D50">
      <w:pPr>
        <w:jc w:val="center"/>
        <w:rPr>
          <w:rFonts w:ascii="Arial" w:hAnsi="Arial" w:cs="Arial"/>
          <w:sz w:val="22"/>
          <w:szCs w:val="22"/>
        </w:rPr>
      </w:pPr>
    </w:p>
    <w:p w14:paraId="2CB4E909" w14:textId="77777777" w:rsidR="00457CF9" w:rsidRDefault="00457CF9"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sz w:val="22"/>
          <w:szCs w:val="22"/>
          <w:lang w:val="es-ES"/>
        </w:rPr>
      </w:pPr>
      <w:r w:rsidRPr="00457CF9">
        <w:rPr>
          <w:rStyle w:val="normaltextrun"/>
          <w:rFonts w:ascii="Arial" w:hAnsi="Arial" w:cs="Arial"/>
          <w:sz w:val="22"/>
          <w:szCs w:val="22"/>
          <w:lang w:val="es-ES"/>
        </w:rPr>
        <w:t>Que de acuerdo con lo dispuesto en el literal n), numeral 2 del Artículo 218 del Estatuto Orgánico del Sistema Financiero, modificado por el Artículo 2o. del Decreto Ley 2371 de 2015, la Comisión Nacional de Crédito Agropecuario (CNCA), podrá:</w:t>
      </w:r>
    </w:p>
    <w:p w14:paraId="335563C3" w14:textId="77777777" w:rsidR="00425336" w:rsidRPr="00457CF9" w:rsidRDefault="00425336" w:rsidP="00425336">
      <w:pPr>
        <w:pStyle w:val="paragraph"/>
        <w:spacing w:before="0" w:beforeAutospacing="0" w:after="0" w:afterAutospacing="0"/>
        <w:jc w:val="both"/>
        <w:textAlignment w:val="baseline"/>
        <w:rPr>
          <w:rStyle w:val="normaltextrun"/>
          <w:rFonts w:ascii="Arial" w:hAnsi="Arial" w:cs="Arial"/>
          <w:sz w:val="22"/>
          <w:szCs w:val="22"/>
          <w:lang w:val="es-ES"/>
        </w:rPr>
      </w:pPr>
    </w:p>
    <w:p w14:paraId="335CD5DD" w14:textId="77777777" w:rsidR="00457CF9" w:rsidRPr="00425336" w:rsidRDefault="00457CF9" w:rsidP="00457CF9">
      <w:pPr>
        <w:pStyle w:val="paragraph"/>
        <w:jc w:val="both"/>
        <w:textAlignment w:val="baseline"/>
        <w:rPr>
          <w:rStyle w:val="normaltextrun"/>
          <w:rFonts w:ascii="Arial" w:hAnsi="Arial" w:cs="Arial"/>
          <w:i/>
          <w:iCs/>
          <w:sz w:val="22"/>
          <w:szCs w:val="22"/>
          <w:lang w:val="es-ES"/>
        </w:rPr>
      </w:pPr>
      <w:r w:rsidRPr="00425336">
        <w:rPr>
          <w:rStyle w:val="normaltextrun"/>
          <w:rFonts w:ascii="Arial" w:hAnsi="Arial" w:cs="Arial"/>
          <w:i/>
          <w:iCs/>
          <w:sz w:val="22"/>
          <w:szCs w:val="22"/>
          <w:lang w:val="es-ES"/>
        </w:rPr>
        <w:t>“(...)</w:t>
      </w:r>
    </w:p>
    <w:p w14:paraId="11EA7E24" w14:textId="77777777" w:rsidR="00457CF9" w:rsidRPr="00425336" w:rsidRDefault="00457CF9" w:rsidP="00457CF9">
      <w:pPr>
        <w:pStyle w:val="paragraph"/>
        <w:jc w:val="both"/>
        <w:textAlignment w:val="baseline"/>
        <w:rPr>
          <w:rStyle w:val="normaltextrun"/>
          <w:rFonts w:ascii="Arial" w:hAnsi="Arial" w:cs="Arial"/>
          <w:i/>
          <w:iCs/>
          <w:sz w:val="22"/>
          <w:szCs w:val="22"/>
          <w:lang w:val="es-ES"/>
        </w:rPr>
      </w:pPr>
      <w:r w:rsidRPr="00425336">
        <w:rPr>
          <w:rStyle w:val="normaltextrun"/>
          <w:rFonts w:ascii="Arial" w:hAnsi="Arial" w:cs="Arial"/>
          <w:i/>
          <w:iCs/>
          <w:sz w:val="22"/>
          <w:szCs w:val="22"/>
          <w:lang w:val="es-ES"/>
        </w:rPr>
        <w:t>n) Establecer, con base en la política trazada por el Ministerio de Agricultura y Desarrollo Rural, los términos y las condiciones financieras de las Líneas Especiales de Crédito (LEC), del Incentivo a la Capitalización Rural (ICR) y de otros incentivos o subsidios del Estado que estén relacionados exclusivamente con el crédito y/o riesgo agropecuario y rural.</w:t>
      </w:r>
    </w:p>
    <w:p w14:paraId="6BF5EE10" w14:textId="77777777" w:rsidR="00457CF9" w:rsidRPr="00457CF9" w:rsidRDefault="00457CF9" w:rsidP="00457CF9">
      <w:pPr>
        <w:pStyle w:val="paragraph"/>
        <w:jc w:val="both"/>
        <w:textAlignment w:val="baseline"/>
        <w:rPr>
          <w:rStyle w:val="normaltextrun"/>
          <w:rFonts w:ascii="Arial" w:hAnsi="Arial" w:cs="Arial"/>
          <w:sz w:val="22"/>
          <w:szCs w:val="22"/>
          <w:lang w:val="es-ES"/>
        </w:rPr>
      </w:pPr>
      <w:r w:rsidRPr="06457A15">
        <w:rPr>
          <w:rStyle w:val="normaltextrun"/>
          <w:rFonts w:ascii="Arial" w:hAnsi="Arial" w:cs="Arial"/>
          <w:i/>
          <w:iCs/>
          <w:sz w:val="22"/>
          <w:szCs w:val="22"/>
          <w:lang w:val="es-ES"/>
        </w:rPr>
        <w:t>(...)”.</w:t>
      </w:r>
    </w:p>
    <w:p w14:paraId="7CC1A9B2" w14:textId="743D0FA5" w:rsidR="06457A15" w:rsidRDefault="06457A15" w:rsidP="06457A15">
      <w:pPr>
        <w:pStyle w:val="paragraph"/>
        <w:jc w:val="both"/>
        <w:rPr>
          <w:rStyle w:val="normaltextrun"/>
          <w:rFonts w:ascii="Arial" w:hAnsi="Arial" w:cs="Arial"/>
          <w:i/>
          <w:iCs/>
          <w:sz w:val="22"/>
          <w:szCs w:val="22"/>
          <w:lang w:val="es-ES"/>
        </w:rPr>
      </w:pPr>
    </w:p>
    <w:p w14:paraId="2C4D79F2" w14:textId="77777777" w:rsidR="003620BA" w:rsidRPr="003620BA" w:rsidRDefault="003620BA"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lang w:val="es-ES"/>
        </w:rPr>
      </w:pPr>
      <w:r w:rsidRPr="003620BA">
        <w:rPr>
          <w:rStyle w:val="normaltextrun"/>
          <w:rFonts w:ascii="Arial" w:hAnsi="Arial" w:cs="Arial"/>
          <w:sz w:val="22"/>
          <w:szCs w:val="22"/>
          <w:lang w:val="es-ES"/>
        </w:rPr>
        <w:t xml:space="preserve">Que de acuerdo con lo dispuesto en el Artículo 220 del Estatuto Orgánico del Sistema Financiero, </w:t>
      </w:r>
      <w:r w:rsidRPr="003620BA">
        <w:rPr>
          <w:rStyle w:val="normaltextrun"/>
          <w:rFonts w:ascii="Arial" w:hAnsi="Arial" w:cs="Arial"/>
          <w:i/>
          <w:iCs/>
          <w:sz w:val="22"/>
          <w:szCs w:val="22"/>
          <w:lang w:val="es-ES"/>
        </w:rPr>
        <w:t>“La Comisión Nacional de Crédito Agropecuario definirá las líneas de crédito que otorgarán las entidades que integran el Sistema Nacional de Crédito Agropecuario, y las instituciones bancarias y financieras debidamente autorizadas por la Superintendencia Bancaria, para conceder créditos con destino al sector agropecuario, afines y similares (...)”.</w:t>
      </w:r>
    </w:p>
    <w:p w14:paraId="07057879" w14:textId="77777777" w:rsidR="003620BA" w:rsidRPr="003620BA" w:rsidRDefault="003620BA" w:rsidP="003620BA">
      <w:pPr>
        <w:pStyle w:val="paragraph"/>
        <w:spacing w:before="0" w:beforeAutospacing="0" w:after="0" w:afterAutospacing="0"/>
        <w:jc w:val="both"/>
        <w:textAlignment w:val="baseline"/>
        <w:rPr>
          <w:rStyle w:val="normaltextrun"/>
          <w:rFonts w:ascii="Arial" w:hAnsi="Arial" w:cs="Arial"/>
          <w:i/>
          <w:iCs/>
          <w:sz w:val="22"/>
          <w:szCs w:val="22"/>
          <w:lang w:val="es-ES"/>
        </w:rPr>
      </w:pPr>
    </w:p>
    <w:p w14:paraId="3D38A041" w14:textId="2FCFC101" w:rsidR="00E04BE3" w:rsidRPr="00A36594" w:rsidRDefault="00A36594"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lang w:val="es-ES"/>
        </w:rPr>
      </w:pPr>
      <w:r w:rsidRPr="00A36594">
        <w:rPr>
          <w:rStyle w:val="normaltextrun"/>
          <w:rFonts w:ascii="Arial" w:hAnsi="Arial" w:cs="Arial"/>
          <w:sz w:val="22"/>
          <w:szCs w:val="22"/>
          <w:lang w:val="es-ES"/>
        </w:rPr>
        <w:t>Que conforme al Artículo 21 de la Ley 101 de 1993, la CNCA determinará los términos y condiciones de los proyectos de inversión en el sector agropecuario que tendrán derecho al Incentivo a la Capitalización Rural (ICR), con base en las políticas trazadas por el Ministerio de Agricultura y Desarrollo Rural (MADR).</w:t>
      </w:r>
    </w:p>
    <w:p w14:paraId="34DA4D7A" w14:textId="77777777" w:rsidR="00A36594" w:rsidRPr="00A36594" w:rsidRDefault="00A36594" w:rsidP="00A36594">
      <w:pPr>
        <w:pStyle w:val="paragraph"/>
        <w:spacing w:before="0" w:beforeAutospacing="0" w:after="0" w:afterAutospacing="0"/>
        <w:jc w:val="both"/>
        <w:textAlignment w:val="baseline"/>
        <w:rPr>
          <w:rStyle w:val="eop"/>
          <w:rFonts w:ascii="Arial" w:hAnsi="Arial" w:cs="Arial"/>
          <w:i/>
          <w:iCs/>
          <w:sz w:val="22"/>
          <w:szCs w:val="22"/>
          <w:lang w:val="es-ES"/>
        </w:rPr>
      </w:pPr>
    </w:p>
    <w:p w14:paraId="4EFFC976" w14:textId="41D1CEB9" w:rsidR="0050234B" w:rsidRPr="00EA1E34" w:rsidRDefault="00E96690" w:rsidP="00502FC8">
      <w:pPr>
        <w:pStyle w:val="paragraph"/>
        <w:numPr>
          <w:ilvl w:val="0"/>
          <w:numId w:val="3"/>
        </w:numPr>
        <w:spacing w:before="0" w:beforeAutospacing="0" w:after="0" w:afterAutospacing="0"/>
        <w:ind w:left="0" w:firstLine="0"/>
        <w:jc w:val="both"/>
        <w:textAlignment w:val="baseline"/>
        <w:rPr>
          <w:rFonts w:ascii="Arial" w:hAnsi="Arial" w:cs="Arial"/>
          <w:i/>
          <w:iCs/>
          <w:sz w:val="22"/>
          <w:szCs w:val="22"/>
        </w:rPr>
      </w:pPr>
      <w:r w:rsidRPr="00E96690">
        <w:rPr>
          <w:rStyle w:val="normaltextrun"/>
          <w:rFonts w:ascii="Arial" w:hAnsi="Arial" w:cs="Arial"/>
          <w:sz w:val="22"/>
          <w:szCs w:val="22"/>
          <w:lang w:val="es-ES"/>
        </w:rPr>
        <w:t xml:space="preserve">Que el Artículo 2.5.2. del Decreto 1071 de 2015, reglamentario de la Ley 101 de 1993, establece que la CNCA, con base en lo dispuesto en el citado decreto y en las políticas trazadas por el Ministerio de Agricultura y Desarrollo Rural, definirá los proyectos y actividades específicas que serán objeto del ICR, </w:t>
      </w:r>
      <w:r w:rsidRPr="00EA1E34">
        <w:rPr>
          <w:rStyle w:val="normaltextrun"/>
          <w:rFonts w:ascii="Arial" w:hAnsi="Arial" w:cs="Arial"/>
          <w:i/>
          <w:iCs/>
          <w:sz w:val="22"/>
          <w:szCs w:val="22"/>
          <w:lang w:val="es-ES"/>
        </w:rPr>
        <w:t xml:space="preserve">“(...) tomando en cuenta para ello que su finalidad sea elevar la competitividad, reducir los niveles de riesgo y garantizar la sostenibilidad de la producción agropecuaria y pesquera de manera duradera. Los proyectos de inversión serán económicamente viables, de duración definida, físicamente verificables y orientados, de manera general, a estimular la formación bruta de capital fijo o </w:t>
      </w:r>
      <w:r w:rsidRPr="00EA1E34">
        <w:rPr>
          <w:rStyle w:val="normaltextrun"/>
          <w:rFonts w:ascii="Arial" w:hAnsi="Arial" w:cs="Arial"/>
          <w:i/>
          <w:iCs/>
          <w:sz w:val="22"/>
          <w:szCs w:val="22"/>
          <w:lang w:val="es-ES"/>
        </w:rPr>
        <w:lastRenderedPageBreak/>
        <w:t>a adelantar programas de modernización y de reconversión tecnológica en áreas geográficas y productos definidos por el Ministerio de Agricultura y Desarrollo Rural (...)”.</w:t>
      </w:r>
      <w:r w:rsidR="0050234B" w:rsidRPr="00EA1E34">
        <w:rPr>
          <w:rStyle w:val="eop"/>
          <w:rFonts w:ascii="Arial" w:hAnsi="Arial" w:cs="Arial"/>
          <w:i/>
          <w:iCs/>
          <w:sz w:val="22"/>
          <w:szCs w:val="22"/>
        </w:rPr>
        <w:t> </w:t>
      </w:r>
    </w:p>
    <w:p w14:paraId="190DC3D7" w14:textId="77777777" w:rsidR="00771EB8" w:rsidRPr="00771EB8" w:rsidRDefault="00771EB8" w:rsidP="00B43827">
      <w:pPr>
        <w:pStyle w:val="paragraph"/>
        <w:spacing w:before="0" w:beforeAutospacing="0" w:after="0" w:afterAutospacing="0"/>
        <w:jc w:val="both"/>
        <w:rPr>
          <w:rStyle w:val="normaltextrun"/>
          <w:rFonts w:ascii="Arial" w:hAnsi="Arial" w:cs="Arial"/>
          <w:i/>
          <w:iCs/>
          <w:sz w:val="22"/>
          <w:szCs w:val="22"/>
        </w:rPr>
      </w:pPr>
    </w:p>
    <w:p w14:paraId="302C00B4" w14:textId="06A809E2" w:rsidR="00BA7CE9" w:rsidRPr="00BA7CE9" w:rsidRDefault="00771EB8" w:rsidP="00502FC8">
      <w:pPr>
        <w:pStyle w:val="paragraph"/>
        <w:numPr>
          <w:ilvl w:val="0"/>
          <w:numId w:val="3"/>
        </w:numPr>
        <w:spacing w:before="0" w:beforeAutospacing="0" w:after="0" w:afterAutospacing="0"/>
        <w:ind w:left="0" w:firstLine="0"/>
        <w:jc w:val="both"/>
        <w:rPr>
          <w:rStyle w:val="normaltextrun"/>
          <w:rFonts w:ascii="Arial" w:hAnsi="Arial" w:cs="Arial"/>
          <w:sz w:val="22"/>
          <w:szCs w:val="22"/>
        </w:rPr>
      </w:pPr>
      <w:r w:rsidRPr="00BA7CE9">
        <w:rPr>
          <w:rStyle w:val="normaltextrun"/>
          <w:rFonts w:ascii="Arial" w:hAnsi="Arial" w:cs="Arial"/>
          <w:sz w:val="22"/>
          <w:szCs w:val="22"/>
        </w:rPr>
        <w:t>Que el Artículo 35 del Decreto Ley 902 de 2017, estableció:</w:t>
      </w:r>
      <w:r w:rsidR="00BA7CE9">
        <w:rPr>
          <w:rStyle w:val="normaltextrun"/>
          <w:rFonts w:ascii="Arial" w:hAnsi="Arial" w:cs="Arial"/>
          <w:sz w:val="22"/>
          <w:szCs w:val="22"/>
        </w:rPr>
        <w:t xml:space="preserve"> </w:t>
      </w:r>
      <w:r w:rsidRPr="00BA7CE9">
        <w:rPr>
          <w:rStyle w:val="normaltextrun"/>
          <w:rFonts w:ascii="Arial" w:hAnsi="Arial" w:cs="Arial"/>
          <w:i/>
          <w:iCs/>
          <w:sz w:val="22"/>
          <w:szCs w:val="22"/>
        </w:rPr>
        <w:t xml:space="preserve">“Los sujetos de que tratan los Artículos 4 y 5 del presente decreto ley que no tengan tierra o esta sea insuficiente, podrán acceder a una línea de crédito especial de tierras con tasa subsidiada y con mecanismos de aseguramiento de los créditos definidos por la Comisión Nacional de Crédito Agropecuario. </w:t>
      </w:r>
    </w:p>
    <w:p w14:paraId="58D69FD4" w14:textId="77777777" w:rsidR="00771EB8" w:rsidRPr="00BA7CE9" w:rsidRDefault="00771EB8" w:rsidP="00771EB8">
      <w:pPr>
        <w:pStyle w:val="paragraph"/>
        <w:jc w:val="both"/>
        <w:rPr>
          <w:rStyle w:val="normaltextrun"/>
          <w:rFonts w:ascii="Arial" w:hAnsi="Arial" w:cs="Arial"/>
          <w:i/>
          <w:iCs/>
          <w:sz w:val="22"/>
          <w:szCs w:val="22"/>
        </w:rPr>
      </w:pPr>
      <w:r w:rsidRPr="00BA7CE9">
        <w:rPr>
          <w:rStyle w:val="normaltextrun"/>
          <w:rFonts w:ascii="Arial" w:hAnsi="Arial" w:cs="Arial"/>
          <w:i/>
          <w:iCs/>
          <w:sz w:val="22"/>
          <w:szCs w:val="22"/>
        </w:rPr>
        <w:t xml:space="preserve">Los créditos se otorgarán en los términos, condiciones, montos y plazos que determine la Comisión Nacional de Crédito Agropecuario, de acuerdo con las funciones otorgadas por el Artículo 218 del Estatuto Orgánico del Sistema Financiero y con base en la política trazada por el Ministerio de Agricultura y Desarrollo Rural para las líneas Especiales Crédito-LEC-, del Incentivo a Capitalización Rural-ICR y otros incentivos o subsidios del Estado que sean desarrollados para propender por la consecución de los objetivos del presente decreto ley, y en particular relacionados con el crédito y/o riesgo agropecuario y rural. </w:t>
      </w:r>
    </w:p>
    <w:p w14:paraId="7126E46C" w14:textId="77777777" w:rsidR="00771EB8" w:rsidRPr="00BA7CE9" w:rsidRDefault="00771EB8" w:rsidP="00771EB8">
      <w:pPr>
        <w:pStyle w:val="paragraph"/>
        <w:jc w:val="both"/>
        <w:rPr>
          <w:rStyle w:val="normaltextrun"/>
          <w:rFonts w:ascii="Arial" w:hAnsi="Arial" w:cs="Arial"/>
          <w:i/>
          <w:iCs/>
          <w:sz w:val="22"/>
          <w:szCs w:val="22"/>
        </w:rPr>
      </w:pPr>
      <w:r w:rsidRPr="00BA7CE9">
        <w:rPr>
          <w:rStyle w:val="normaltextrun"/>
          <w:rFonts w:ascii="Arial" w:hAnsi="Arial" w:cs="Arial"/>
          <w:i/>
          <w:iCs/>
          <w:sz w:val="22"/>
          <w:szCs w:val="22"/>
        </w:rPr>
        <w:t>En la configuración de las líneas de crédito para sistemas productivos deberá tenerse en cuenta, entre otros criterios, la aptitud de las tierras rurales definida por la Unidad de Planificación de Tierras Rurales, Adecuación de Tierras y Usos Agropecuarios para cada sistema productivo, considerar tanto el horizonte de tiempo del sistema productivo, incluyendo el inicio de la etapa productiva, así como los riesgos inherentes a la actividad agropecuaria, con el fin de que los réditos obtenidos de la comercialización permitan garantizar los flujos financieros para facilitar el pago del crédito otorgado.</w:t>
      </w:r>
    </w:p>
    <w:p w14:paraId="5AD9DF24" w14:textId="72F09878" w:rsidR="00853D4F" w:rsidRDefault="00771EB8" w:rsidP="00771EB8">
      <w:pPr>
        <w:pStyle w:val="paragraph"/>
        <w:spacing w:before="0" w:beforeAutospacing="0" w:after="0" w:afterAutospacing="0"/>
        <w:jc w:val="both"/>
        <w:rPr>
          <w:rStyle w:val="normaltextrun"/>
          <w:rFonts w:ascii="Arial" w:hAnsi="Arial" w:cs="Arial"/>
          <w:i/>
          <w:iCs/>
          <w:sz w:val="22"/>
          <w:szCs w:val="22"/>
        </w:rPr>
      </w:pPr>
      <w:r w:rsidRPr="00BA7CE9">
        <w:rPr>
          <w:rStyle w:val="normaltextrun"/>
          <w:rFonts w:ascii="Arial" w:hAnsi="Arial" w:cs="Arial"/>
          <w:i/>
          <w:iCs/>
          <w:sz w:val="22"/>
          <w:szCs w:val="22"/>
        </w:rPr>
        <w:t>Dentro de las líneas de crédito se otorgarán prerrogativas a los pequeños productores agropecuarios que pretendan la ampliación de su potencial productivo y la adquisición de tierras por parte de organizaciones campesinas y de economía solidaria.”</w:t>
      </w:r>
    </w:p>
    <w:p w14:paraId="1FA8EEEF" w14:textId="77777777" w:rsidR="00A17313" w:rsidRDefault="00A17313" w:rsidP="00771EB8">
      <w:pPr>
        <w:pStyle w:val="paragraph"/>
        <w:spacing w:before="0" w:beforeAutospacing="0" w:after="0" w:afterAutospacing="0"/>
        <w:jc w:val="both"/>
        <w:rPr>
          <w:rStyle w:val="normaltextrun"/>
          <w:rFonts w:ascii="Arial" w:hAnsi="Arial" w:cs="Arial"/>
          <w:i/>
          <w:iCs/>
          <w:sz w:val="22"/>
          <w:szCs w:val="22"/>
        </w:rPr>
      </w:pPr>
    </w:p>
    <w:p w14:paraId="0B3D2D25" w14:textId="5FFF9EC8" w:rsidR="00A17313" w:rsidRPr="00A17313" w:rsidRDefault="00A17313"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sz w:val="22"/>
          <w:szCs w:val="22"/>
        </w:rPr>
      </w:pPr>
      <w:r w:rsidRPr="00A17313">
        <w:rPr>
          <w:rStyle w:val="normaltextrun"/>
          <w:rFonts w:ascii="Arial" w:hAnsi="Arial" w:cs="Arial"/>
          <w:sz w:val="22"/>
          <w:szCs w:val="22"/>
        </w:rPr>
        <w:t xml:space="preserve">Que el Artículo 58 de la Ley 2294 de 2023 “Por la cual se expide el Plan Nacional de Desarrollo 2022-2026 Colombia Potencia Mundial de la Vida” modificó el Artículo 5° de la Ley 902 de 2017, definiendo los sujetos de acceso a tierra y formalización a título parcialmente gratuito.  </w:t>
      </w:r>
    </w:p>
    <w:p w14:paraId="43F76520" w14:textId="77777777" w:rsidR="00A17313" w:rsidRPr="00A17313" w:rsidRDefault="00A17313" w:rsidP="00A17313">
      <w:pPr>
        <w:pStyle w:val="paragraph"/>
        <w:spacing w:before="0" w:beforeAutospacing="0" w:after="0" w:afterAutospacing="0"/>
        <w:jc w:val="both"/>
        <w:textAlignment w:val="baseline"/>
        <w:rPr>
          <w:rStyle w:val="normaltextrun"/>
          <w:rFonts w:ascii="Arial" w:hAnsi="Arial" w:cs="Arial"/>
          <w:i/>
          <w:iCs/>
          <w:sz w:val="22"/>
          <w:szCs w:val="22"/>
        </w:rPr>
      </w:pPr>
    </w:p>
    <w:p w14:paraId="29794148" w14:textId="10D9B68E" w:rsidR="00BC01C7" w:rsidRPr="000227DF" w:rsidRDefault="003F560B"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rPr>
      </w:pPr>
      <w:r w:rsidRPr="003F560B">
        <w:rPr>
          <w:rStyle w:val="normaltextrun"/>
          <w:rFonts w:ascii="Arial" w:hAnsi="Arial" w:cs="Arial"/>
          <w:sz w:val="22"/>
          <w:szCs w:val="22"/>
        </w:rPr>
        <w:t xml:space="preserve">Que mediante la Resolución No. 464 de 2017, el MADR adoptó los lineamientos estratégicos para el fortalecimiento, promoción y protección de política pública para la agricultura campesina, familiar y comunitaria , dentro de los cuales contempla el desarrollo de incentivos y financiamiento, y señala como estrategia para la materialización de estos </w:t>
      </w:r>
      <w:r w:rsidRPr="000227DF">
        <w:rPr>
          <w:rStyle w:val="normaltextrun"/>
          <w:rFonts w:ascii="Arial" w:hAnsi="Arial" w:cs="Arial"/>
          <w:i/>
          <w:iCs/>
          <w:sz w:val="22"/>
          <w:szCs w:val="22"/>
        </w:rPr>
        <w:t>“Fomentar y fortalecer los servicios financieros rurales para el apoyo y fortalecimiento de los procesos de producción, transformación y comercialización de los productos agropecuarios provenientes de la ACFC, en particular los servicios microfinancieros y aquellos de finanzas solidarias.”</w:t>
      </w:r>
    </w:p>
    <w:p w14:paraId="6F5362B2" w14:textId="77777777" w:rsidR="00306A8B" w:rsidRDefault="00306A8B" w:rsidP="00306A8B">
      <w:pPr>
        <w:pStyle w:val="Prrafodelista"/>
        <w:rPr>
          <w:rStyle w:val="normaltextrun"/>
          <w:rFonts w:ascii="Arial" w:hAnsi="Arial" w:cs="Arial"/>
          <w:sz w:val="22"/>
          <w:szCs w:val="22"/>
        </w:rPr>
      </w:pPr>
    </w:p>
    <w:p w14:paraId="07F3AC96" w14:textId="510F0D75" w:rsidR="0050234B" w:rsidRDefault="00306A8B" w:rsidP="00502FC8">
      <w:pPr>
        <w:pStyle w:val="paragraph"/>
        <w:numPr>
          <w:ilvl w:val="0"/>
          <w:numId w:val="3"/>
        </w:numPr>
        <w:spacing w:before="0" w:beforeAutospacing="0" w:after="0" w:afterAutospacing="0"/>
        <w:ind w:left="0" w:firstLine="0"/>
        <w:jc w:val="both"/>
        <w:rPr>
          <w:rStyle w:val="eop"/>
          <w:rFonts w:ascii="Arial" w:hAnsi="Arial" w:cs="Arial"/>
          <w:sz w:val="22"/>
          <w:szCs w:val="22"/>
        </w:rPr>
      </w:pPr>
      <w:r w:rsidRPr="00306A8B">
        <w:rPr>
          <w:rStyle w:val="normaltextrun"/>
          <w:rFonts w:ascii="Arial" w:hAnsi="Arial" w:cs="Arial"/>
          <w:sz w:val="22"/>
          <w:szCs w:val="22"/>
        </w:rPr>
        <w:t>Que el Artículo 3° de la Ley 731 de 2002 “Por la cual se dictan normas para favorecer a las mujeres rurales”, establece que la actividad rural comprende desde las actividades tradicionales, tales como las labores agropecuarias, forestales, pesqueras y mineras, hasta las no tradicionales, como el desarrollo de agroindustrias y microempresas, además de otras actividades realizadas en el marco de una perspectiva más amplia de la ruralidad, entre las que se considera de especial interés aquellas relacionadas con la integración a cadenas agroproductivas, y el turismo rural y ecológico.</w:t>
      </w:r>
      <w:r w:rsidR="0050234B" w:rsidRPr="00C51EB4">
        <w:rPr>
          <w:rStyle w:val="eop"/>
          <w:rFonts w:ascii="Arial" w:hAnsi="Arial" w:cs="Arial"/>
          <w:sz w:val="22"/>
          <w:szCs w:val="22"/>
        </w:rPr>
        <w:t> </w:t>
      </w:r>
    </w:p>
    <w:p w14:paraId="1D0D43D9" w14:textId="77777777" w:rsidR="006E328D" w:rsidRDefault="006E328D" w:rsidP="006E328D">
      <w:pPr>
        <w:pStyle w:val="Prrafodelista"/>
        <w:rPr>
          <w:rStyle w:val="eop"/>
          <w:rFonts w:ascii="Arial" w:hAnsi="Arial" w:cs="Arial"/>
          <w:sz w:val="22"/>
          <w:szCs w:val="22"/>
        </w:rPr>
      </w:pPr>
    </w:p>
    <w:p w14:paraId="0453C731" w14:textId="1C5E5F3B" w:rsidR="006E328D" w:rsidRDefault="006E328D" w:rsidP="00502FC8">
      <w:pPr>
        <w:pStyle w:val="paragraph"/>
        <w:numPr>
          <w:ilvl w:val="0"/>
          <w:numId w:val="3"/>
        </w:numPr>
        <w:spacing w:before="0" w:beforeAutospacing="0" w:after="0" w:afterAutospacing="0"/>
        <w:ind w:left="0" w:firstLine="0"/>
        <w:jc w:val="both"/>
        <w:rPr>
          <w:rStyle w:val="eop"/>
          <w:rFonts w:ascii="Arial" w:hAnsi="Arial" w:cs="Arial"/>
          <w:sz w:val="22"/>
          <w:szCs w:val="22"/>
        </w:rPr>
      </w:pPr>
      <w:r w:rsidRPr="006E328D">
        <w:rPr>
          <w:rStyle w:val="eop"/>
          <w:rFonts w:ascii="Arial" w:hAnsi="Arial" w:cs="Arial"/>
          <w:sz w:val="22"/>
          <w:szCs w:val="22"/>
        </w:rPr>
        <w:t>Que en virtud de los compromisos adquiridos en documentos CONPES, y en las bases mismas del PND 2022-2026 “Colombia Potencial Mundial de la Vida”, se debe priorizar como sujetos de ayuda sectorial por parte del gobierno nacional a las mujeres rurales, los jóvenes rurales, las comunidades negras, afrodescendientes, raizales y comunidades indígenas.</w:t>
      </w:r>
    </w:p>
    <w:p w14:paraId="38A3E1D0" w14:textId="77777777" w:rsidR="00DD27A5" w:rsidRDefault="00DD27A5" w:rsidP="00DD27A5">
      <w:pPr>
        <w:pStyle w:val="Prrafodelista"/>
        <w:rPr>
          <w:rFonts w:ascii="Arial" w:hAnsi="Arial" w:cs="Arial"/>
          <w:sz w:val="22"/>
          <w:szCs w:val="22"/>
        </w:rPr>
      </w:pPr>
    </w:p>
    <w:p w14:paraId="674B1EF0" w14:textId="40280A09" w:rsidR="00DD27A5" w:rsidRPr="0027708A" w:rsidRDefault="0027708A" w:rsidP="00502FC8">
      <w:pPr>
        <w:pStyle w:val="paragraph"/>
        <w:numPr>
          <w:ilvl w:val="0"/>
          <w:numId w:val="3"/>
        </w:numPr>
        <w:spacing w:before="0" w:beforeAutospacing="0" w:after="0" w:afterAutospacing="0"/>
        <w:ind w:left="0" w:firstLine="0"/>
        <w:jc w:val="both"/>
        <w:rPr>
          <w:rFonts w:ascii="Arial" w:hAnsi="Arial" w:cs="Arial"/>
          <w:sz w:val="22"/>
          <w:szCs w:val="22"/>
        </w:rPr>
      </w:pPr>
      <w:r w:rsidRPr="0027708A">
        <w:rPr>
          <w:rFonts w:ascii="Arial" w:hAnsi="Arial" w:cs="Arial"/>
          <w:sz w:val="22"/>
          <w:szCs w:val="22"/>
        </w:rPr>
        <w:t>Que en cumplimiento de lo previsto en el Artículo 11o. de la Resolución No. 3 de 2016, el propósito de la presente resolución es expedir el Plan Anual de Incentivos para el año 2024.</w:t>
      </w:r>
    </w:p>
    <w:p w14:paraId="6C203601" w14:textId="77777777" w:rsidR="005F6882" w:rsidRDefault="005F6882" w:rsidP="005F6882">
      <w:pPr>
        <w:pStyle w:val="paragraph"/>
        <w:spacing w:before="0" w:beforeAutospacing="0" w:after="0" w:afterAutospacing="0"/>
        <w:jc w:val="both"/>
        <w:textAlignment w:val="baseline"/>
        <w:rPr>
          <w:rStyle w:val="normaltextrun"/>
          <w:rFonts w:ascii="Arial" w:hAnsi="Arial" w:cs="Arial"/>
          <w:sz w:val="22"/>
          <w:szCs w:val="22"/>
        </w:rPr>
      </w:pPr>
    </w:p>
    <w:p w14:paraId="6F3BC7A1" w14:textId="5264C70C" w:rsidR="001B7B91" w:rsidRDefault="001B7B91" w:rsidP="00502FC8">
      <w:pPr>
        <w:pStyle w:val="paragraph"/>
        <w:numPr>
          <w:ilvl w:val="0"/>
          <w:numId w:val="3"/>
        </w:numPr>
        <w:spacing w:before="0" w:beforeAutospacing="0" w:after="0" w:afterAutospacing="0"/>
        <w:ind w:left="0" w:firstLine="0"/>
        <w:jc w:val="both"/>
        <w:textAlignment w:val="baseline"/>
        <w:rPr>
          <w:rStyle w:val="normaltextrun"/>
          <w:rFonts w:ascii="Arial" w:hAnsi="Arial" w:cs="Arial"/>
          <w:sz w:val="22"/>
          <w:szCs w:val="22"/>
        </w:rPr>
      </w:pPr>
      <w:r w:rsidRPr="001B7B91">
        <w:rPr>
          <w:rStyle w:val="normaltextrun"/>
          <w:rFonts w:ascii="Arial" w:hAnsi="Arial" w:cs="Arial"/>
          <w:sz w:val="22"/>
          <w:szCs w:val="22"/>
        </w:rPr>
        <w:lastRenderedPageBreak/>
        <w:t>Que la Resolución 8 de 2023 de la CNCA modificó y compiló la reglamentación del destino del crédito agropecuario y rural, definió sus beneficiarios, condiciones financieras y se adoptaron otras disposiciones.</w:t>
      </w:r>
    </w:p>
    <w:p w14:paraId="63664FD1" w14:textId="77777777" w:rsidR="001B7B91" w:rsidRDefault="001B7B91" w:rsidP="001B7B91">
      <w:pPr>
        <w:pStyle w:val="Prrafodelista"/>
        <w:rPr>
          <w:rStyle w:val="normaltextrun"/>
          <w:rFonts w:ascii="Arial" w:hAnsi="Arial" w:cs="Arial"/>
          <w:sz w:val="22"/>
          <w:szCs w:val="22"/>
        </w:rPr>
      </w:pPr>
    </w:p>
    <w:p w14:paraId="6AFD86EC" w14:textId="1AB050C4" w:rsidR="0050234B" w:rsidRPr="00C51EB4" w:rsidRDefault="274D4DAD" w:rsidP="44DBAE3A">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44DBAE3A">
        <w:rPr>
          <w:rStyle w:val="normaltextrun"/>
          <w:rFonts w:ascii="Arial" w:hAnsi="Arial" w:cs="Arial"/>
          <w:sz w:val="22"/>
          <w:szCs w:val="22"/>
        </w:rPr>
        <w:t xml:space="preserve">Que el proyecto de resolución de la CNCA </w:t>
      </w:r>
      <w:r w:rsidR="334A7976" w:rsidRPr="44DBAE3A">
        <w:rPr>
          <w:rStyle w:val="normaltextrun"/>
          <w:rFonts w:ascii="Arial" w:hAnsi="Arial" w:cs="Arial"/>
          <w:i/>
          <w:iCs/>
          <w:sz w:val="22"/>
          <w:szCs w:val="22"/>
          <w:lang w:val="es-ES"/>
        </w:rPr>
        <w:t>“Por la cual se establece el Plan Anual de Incentivos para el año 2024</w:t>
      </w:r>
      <w:r w:rsidR="26C27E1E" w:rsidRPr="44DBAE3A">
        <w:rPr>
          <w:rStyle w:val="normaltextrun"/>
          <w:rFonts w:ascii="Arial" w:hAnsi="Arial" w:cs="Arial"/>
          <w:i/>
          <w:iCs/>
          <w:sz w:val="22"/>
          <w:szCs w:val="22"/>
          <w:lang w:val="es-ES"/>
        </w:rPr>
        <w:t xml:space="preserve"> y se dictan otras disposiciones</w:t>
      </w:r>
      <w:r w:rsidR="1098BB02" w:rsidRPr="44DBAE3A">
        <w:rPr>
          <w:rStyle w:val="normaltextrun"/>
          <w:rFonts w:ascii="Arial" w:hAnsi="Arial" w:cs="Arial"/>
          <w:i/>
          <w:iCs/>
          <w:sz w:val="22"/>
          <w:szCs w:val="22"/>
          <w:lang w:val="es-ES"/>
        </w:rPr>
        <w:t>”</w:t>
      </w:r>
      <w:r w:rsidRPr="44DBAE3A">
        <w:rPr>
          <w:rStyle w:val="normaltextrun"/>
          <w:rFonts w:ascii="Arial" w:hAnsi="Arial" w:cs="Arial"/>
          <w:i/>
          <w:iCs/>
          <w:sz w:val="22"/>
          <w:szCs w:val="22"/>
        </w:rPr>
        <w:t xml:space="preserve">, </w:t>
      </w:r>
      <w:r w:rsidRPr="44DBAE3A">
        <w:rPr>
          <w:rStyle w:val="normaltextrun"/>
          <w:rFonts w:ascii="Arial" w:hAnsi="Arial" w:cs="Arial"/>
          <w:sz w:val="22"/>
          <w:szCs w:val="22"/>
        </w:rPr>
        <w:t>estuvo publicado en la página web del Fondo para el Financiamiento del Sector Agropecuario – FINAGRO para comentarios.</w:t>
      </w:r>
      <w:r w:rsidRPr="44DBAE3A">
        <w:rPr>
          <w:rStyle w:val="eop"/>
          <w:rFonts w:ascii="Arial" w:hAnsi="Arial" w:cs="Arial"/>
          <w:sz w:val="22"/>
          <w:szCs w:val="22"/>
        </w:rPr>
        <w:t> </w:t>
      </w:r>
    </w:p>
    <w:p w14:paraId="1B2E0293" w14:textId="28CA6C31"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4F25782D" w14:textId="3BC9F379" w:rsidR="0050234B" w:rsidRDefault="0050234B" w:rsidP="00502FC8">
      <w:pPr>
        <w:pStyle w:val="paragraph"/>
        <w:numPr>
          <w:ilvl w:val="0"/>
          <w:numId w:val="3"/>
        </w:numPr>
        <w:spacing w:before="0" w:beforeAutospacing="0" w:after="0" w:afterAutospacing="0"/>
        <w:ind w:left="0" w:firstLine="0"/>
        <w:jc w:val="both"/>
        <w:textAlignment w:val="baseline"/>
        <w:rPr>
          <w:rStyle w:val="eop"/>
          <w:rFonts w:ascii="Arial" w:hAnsi="Arial" w:cs="Arial"/>
          <w:sz w:val="22"/>
          <w:szCs w:val="22"/>
        </w:rPr>
      </w:pPr>
      <w:r w:rsidRPr="5964BA00">
        <w:rPr>
          <w:rStyle w:val="normaltextrun"/>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C67F10">
        <w:rPr>
          <w:rStyle w:val="normaltextrun"/>
          <w:rFonts w:ascii="Arial" w:hAnsi="Arial" w:cs="Arial"/>
          <w:sz w:val="22"/>
          <w:szCs w:val="22"/>
        </w:rPr>
        <w:t>19</w:t>
      </w:r>
      <w:r w:rsidRPr="5964BA00">
        <w:rPr>
          <w:rStyle w:val="normaltextrun"/>
          <w:rFonts w:ascii="Arial" w:hAnsi="Arial" w:cs="Arial"/>
          <w:sz w:val="22"/>
          <w:szCs w:val="22"/>
        </w:rPr>
        <w:t xml:space="preserve"> de </w:t>
      </w:r>
      <w:r w:rsidR="00C67F10">
        <w:rPr>
          <w:rStyle w:val="normaltextrun"/>
          <w:rFonts w:ascii="Arial" w:hAnsi="Arial" w:cs="Arial"/>
          <w:sz w:val="22"/>
          <w:szCs w:val="22"/>
        </w:rPr>
        <w:t>dic</w:t>
      </w:r>
      <w:r w:rsidRPr="5964BA00">
        <w:rPr>
          <w:rStyle w:val="normaltextrun"/>
          <w:rFonts w:ascii="Arial" w:hAnsi="Arial" w:cs="Arial"/>
          <w:sz w:val="22"/>
          <w:szCs w:val="22"/>
        </w:rPr>
        <w:t>iembre de dos mil veintitrés (2023).</w:t>
      </w:r>
      <w:r w:rsidRPr="5964BA00">
        <w:rPr>
          <w:rStyle w:val="eop"/>
          <w:rFonts w:ascii="Arial" w:hAnsi="Arial" w:cs="Arial"/>
          <w:sz w:val="22"/>
          <w:szCs w:val="22"/>
        </w:rPr>
        <w:t> </w:t>
      </w:r>
    </w:p>
    <w:p w14:paraId="76E0E2B0" w14:textId="77777777" w:rsidR="00BC62CD" w:rsidRDefault="00BC62CD" w:rsidP="00BC62CD">
      <w:pPr>
        <w:pStyle w:val="Prrafodelista"/>
        <w:rPr>
          <w:rFonts w:ascii="Arial" w:hAnsi="Arial" w:cs="Arial"/>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51EB4" w:rsidRDefault="0050234B" w:rsidP="14E82E84">
      <w:pPr>
        <w:pStyle w:val="paragraph"/>
        <w:spacing w:before="0" w:beforeAutospacing="0" w:after="0" w:afterAutospacing="0"/>
        <w:jc w:val="center"/>
        <w:textAlignment w:val="baseline"/>
        <w:rPr>
          <w:rFonts w:ascii="Arial" w:hAnsi="Arial" w:cs="Arial"/>
          <w:b/>
          <w:bCs/>
          <w:sz w:val="22"/>
          <w:szCs w:val="22"/>
        </w:rPr>
      </w:pPr>
      <w:r w:rsidRPr="3C97BC55">
        <w:rPr>
          <w:rStyle w:val="eop"/>
          <w:rFonts w:ascii="Arial" w:hAnsi="Arial" w:cs="Arial"/>
          <w:b/>
          <w:bCs/>
          <w:sz w:val="22"/>
          <w:szCs w:val="22"/>
        </w:rPr>
        <w:t>RESUELVE</w:t>
      </w:r>
    </w:p>
    <w:p w14:paraId="05349939" w14:textId="77777777" w:rsidR="0050234B" w:rsidRPr="00C51EB4" w:rsidRDefault="0050234B" w:rsidP="0050234B">
      <w:pPr>
        <w:jc w:val="center"/>
        <w:rPr>
          <w:rFonts w:ascii="Arial" w:hAnsi="Arial" w:cs="Arial"/>
          <w:b/>
          <w:bCs/>
          <w:sz w:val="22"/>
          <w:szCs w:val="22"/>
        </w:rPr>
      </w:pPr>
    </w:p>
    <w:p w14:paraId="3E7C394F" w14:textId="77777777" w:rsidR="007831B9" w:rsidRPr="000F26EE" w:rsidRDefault="007831B9" w:rsidP="007831B9">
      <w:pPr>
        <w:pStyle w:val="Textoindependiente3"/>
        <w:spacing w:line="0" w:lineRule="atLeast"/>
        <w:jc w:val="center"/>
        <w:rPr>
          <w:b/>
          <w:bCs/>
          <w:snapToGrid w:val="0"/>
          <w:szCs w:val="22"/>
        </w:rPr>
      </w:pPr>
      <w:r w:rsidRPr="000F26EE">
        <w:rPr>
          <w:b/>
          <w:bCs/>
          <w:snapToGrid w:val="0"/>
          <w:szCs w:val="22"/>
        </w:rPr>
        <w:t xml:space="preserve">CAPÍTULO PRIMERO </w:t>
      </w:r>
    </w:p>
    <w:p w14:paraId="7D14E39C" w14:textId="0E2635EF" w:rsidR="0050234B" w:rsidRDefault="00D3205B" w:rsidP="0050234B">
      <w:pPr>
        <w:jc w:val="center"/>
        <w:rPr>
          <w:rFonts w:ascii="Arial" w:hAnsi="Arial"/>
          <w:b/>
          <w:snapToGrid w:val="0"/>
          <w:sz w:val="22"/>
          <w:szCs w:val="22"/>
        </w:rPr>
      </w:pPr>
      <w:r w:rsidRPr="00D3205B">
        <w:rPr>
          <w:rFonts w:ascii="Arial" w:hAnsi="Arial"/>
          <w:b/>
          <w:snapToGrid w:val="0"/>
          <w:sz w:val="22"/>
          <w:szCs w:val="22"/>
        </w:rPr>
        <w:t>DE LOS ASPECTOS COMUNES DE LOS INCENTIVOS</w:t>
      </w:r>
    </w:p>
    <w:p w14:paraId="0D932B14" w14:textId="77777777" w:rsidR="00D3205B" w:rsidRPr="00C51EB4" w:rsidRDefault="00D3205B" w:rsidP="0050234B">
      <w:pPr>
        <w:jc w:val="center"/>
        <w:rPr>
          <w:rFonts w:ascii="Arial" w:hAnsi="Arial" w:cs="Arial"/>
          <w:b/>
          <w:bCs/>
          <w:sz w:val="22"/>
          <w:szCs w:val="22"/>
        </w:rPr>
      </w:pPr>
    </w:p>
    <w:p w14:paraId="7556356D" w14:textId="0718D437" w:rsidR="00A37D35" w:rsidRDefault="00A37D35" w:rsidP="00502FC8">
      <w:pPr>
        <w:pStyle w:val="Prrafodelista"/>
        <w:numPr>
          <w:ilvl w:val="0"/>
          <w:numId w:val="4"/>
        </w:numPr>
        <w:ind w:left="0" w:firstLine="0"/>
        <w:contextualSpacing/>
        <w:jc w:val="both"/>
        <w:rPr>
          <w:rFonts w:ascii="Arial" w:hAnsi="Arial" w:cs="Arial"/>
          <w:sz w:val="22"/>
          <w:szCs w:val="22"/>
        </w:rPr>
      </w:pPr>
      <w:r w:rsidRPr="00616C64">
        <w:rPr>
          <w:rFonts w:ascii="Arial" w:hAnsi="Arial" w:cs="Arial"/>
          <w:b/>
          <w:bCs/>
          <w:sz w:val="22"/>
          <w:szCs w:val="22"/>
        </w:rPr>
        <w:t>Usuarios o Beneficiarios.</w:t>
      </w:r>
      <w:r w:rsidRPr="00616C64">
        <w:rPr>
          <w:rFonts w:ascii="Arial" w:hAnsi="Arial" w:cs="Arial"/>
          <w:sz w:val="22"/>
          <w:szCs w:val="22"/>
        </w:rPr>
        <w:t xml:space="preserve"> Tendrá acceso a los subsidios e incentivos que se definan en la presente Resolución, los siguientes tipos de productor y beneficiarios especiales:</w:t>
      </w:r>
    </w:p>
    <w:p w14:paraId="28998DA7" w14:textId="77777777" w:rsidR="00DD3684" w:rsidRDefault="00DD3684" w:rsidP="00DD3684">
      <w:pPr>
        <w:contextualSpacing/>
        <w:jc w:val="both"/>
        <w:rPr>
          <w:rFonts w:ascii="Arial" w:hAnsi="Arial" w:cs="Arial"/>
          <w:sz w:val="22"/>
          <w:szCs w:val="22"/>
        </w:rPr>
      </w:pPr>
    </w:p>
    <w:p w14:paraId="25DBFADD" w14:textId="3866DC6B" w:rsidR="00DD3684" w:rsidRPr="006278F1" w:rsidRDefault="26C04D5E" w:rsidP="00EA2750">
      <w:pPr>
        <w:contextualSpacing/>
        <w:jc w:val="both"/>
        <w:rPr>
          <w:rFonts w:ascii="Arial" w:hAnsi="Arial" w:cs="Arial"/>
          <w:b/>
          <w:bCs/>
          <w:sz w:val="22"/>
          <w:szCs w:val="22"/>
        </w:rPr>
      </w:pPr>
      <w:r w:rsidRPr="4FB0F017">
        <w:rPr>
          <w:rFonts w:ascii="Arial" w:hAnsi="Arial" w:cs="Arial"/>
          <w:b/>
          <w:bCs/>
          <w:sz w:val="22"/>
          <w:szCs w:val="22"/>
        </w:rPr>
        <w:t xml:space="preserve">1.1. </w:t>
      </w:r>
      <w:r w:rsidR="00DD3684" w:rsidRPr="4FB0F017">
        <w:rPr>
          <w:rFonts w:ascii="Arial" w:hAnsi="Arial" w:cs="Arial"/>
          <w:b/>
          <w:bCs/>
          <w:sz w:val="22"/>
          <w:szCs w:val="22"/>
        </w:rPr>
        <w:t xml:space="preserve">Tipo de Productor </w:t>
      </w:r>
    </w:p>
    <w:p w14:paraId="0333B6CC" w14:textId="77777777" w:rsidR="00DD3684" w:rsidRPr="003C7339" w:rsidRDefault="00DD3684" w:rsidP="00DD3684">
      <w:pPr>
        <w:contextualSpacing/>
        <w:jc w:val="both"/>
        <w:rPr>
          <w:rFonts w:ascii="Arial" w:hAnsi="Arial" w:cs="Arial"/>
          <w:sz w:val="22"/>
          <w:szCs w:val="22"/>
        </w:rPr>
      </w:pPr>
    </w:p>
    <w:p w14:paraId="71F860A9" w14:textId="77777777" w:rsidR="00DD3684" w:rsidRPr="006278F1" w:rsidRDefault="00DD3684" w:rsidP="00502FC8">
      <w:pPr>
        <w:pStyle w:val="Prrafodelista"/>
        <w:numPr>
          <w:ilvl w:val="1"/>
          <w:numId w:val="9"/>
        </w:numPr>
        <w:contextualSpacing/>
        <w:jc w:val="both"/>
        <w:rPr>
          <w:rFonts w:ascii="Arial" w:hAnsi="Arial" w:cs="Arial"/>
          <w:sz w:val="22"/>
          <w:szCs w:val="22"/>
        </w:rPr>
      </w:pPr>
      <w:r w:rsidRPr="006278F1">
        <w:rPr>
          <w:rFonts w:ascii="Arial" w:hAnsi="Arial" w:cs="Arial"/>
          <w:sz w:val="22"/>
          <w:szCs w:val="22"/>
        </w:rPr>
        <w:t xml:space="preserve">Pequeños productores de ingresos bajos. </w:t>
      </w:r>
    </w:p>
    <w:p w14:paraId="60A12835" w14:textId="77777777" w:rsidR="00DD3684" w:rsidRPr="006278F1" w:rsidRDefault="00DD3684" w:rsidP="00502FC8">
      <w:pPr>
        <w:pStyle w:val="Prrafodelista"/>
        <w:numPr>
          <w:ilvl w:val="1"/>
          <w:numId w:val="9"/>
        </w:numPr>
        <w:contextualSpacing/>
        <w:jc w:val="both"/>
        <w:rPr>
          <w:rFonts w:ascii="Arial" w:hAnsi="Arial" w:cs="Arial"/>
          <w:sz w:val="22"/>
          <w:szCs w:val="22"/>
        </w:rPr>
      </w:pPr>
      <w:r w:rsidRPr="006278F1">
        <w:rPr>
          <w:rFonts w:ascii="Arial" w:hAnsi="Arial" w:cs="Arial"/>
          <w:sz w:val="22"/>
          <w:szCs w:val="22"/>
        </w:rPr>
        <w:t>Pequeños productores.</w:t>
      </w:r>
    </w:p>
    <w:p w14:paraId="219070EB" w14:textId="77777777" w:rsidR="00DD3684" w:rsidRPr="006278F1" w:rsidRDefault="00DD3684" w:rsidP="00502FC8">
      <w:pPr>
        <w:pStyle w:val="Prrafodelista"/>
        <w:numPr>
          <w:ilvl w:val="1"/>
          <w:numId w:val="9"/>
        </w:numPr>
        <w:contextualSpacing/>
        <w:jc w:val="both"/>
        <w:rPr>
          <w:rFonts w:ascii="Arial" w:hAnsi="Arial" w:cs="Arial"/>
          <w:sz w:val="22"/>
          <w:szCs w:val="22"/>
        </w:rPr>
      </w:pPr>
      <w:r w:rsidRPr="006278F1">
        <w:rPr>
          <w:rFonts w:ascii="Arial" w:hAnsi="Arial" w:cs="Arial"/>
          <w:sz w:val="22"/>
          <w:szCs w:val="22"/>
        </w:rPr>
        <w:t>Mediano productor.</w:t>
      </w:r>
    </w:p>
    <w:p w14:paraId="25DF2334" w14:textId="77777777" w:rsidR="00DD3684" w:rsidRPr="003C7339" w:rsidRDefault="00DD3684" w:rsidP="00DD3684">
      <w:pPr>
        <w:contextualSpacing/>
        <w:jc w:val="both"/>
        <w:rPr>
          <w:rFonts w:ascii="Arial" w:hAnsi="Arial" w:cs="Arial"/>
          <w:sz w:val="22"/>
          <w:szCs w:val="22"/>
        </w:rPr>
      </w:pPr>
    </w:p>
    <w:p w14:paraId="7C564BC4" w14:textId="7BB0078D" w:rsidR="00DD3684" w:rsidRPr="002C2C82" w:rsidRDefault="61BF6992" w:rsidP="00EA2750">
      <w:pPr>
        <w:contextualSpacing/>
        <w:jc w:val="both"/>
        <w:rPr>
          <w:rFonts w:ascii="Arial" w:hAnsi="Arial" w:cs="Arial"/>
          <w:b/>
          <w:bCs/>
          <w:sz w:val="22"/>
          <w:szCs w:val="22"/>
        </w:rPr>
      </w:pPr>
      <w:r w:rsidRPr="4FB0F017">
        <w:rPr>
          <w:rFonts w:ascii="Arial" w:hAnsi="Arial" w:cs="Arial"/>
          <w:b/>
          <w:bCs/>
          <w:sz w:val="22"/>
          <w:szCs w:val="22"/>
        </w:rPr>
        <w:t xml:space="preserve">1.2. </w:t>
      </w:r>
      <w:r w:rsidR="00DD3684" w:rsidRPr="4FB0F017">
        <w:rPr>
          <w:rFonts w:ascii="Arial" w:hAnsi="Arial" w:cs="Arial"/>
          <w:b/>
          <w:bCs/>
          <w:sz w:val="22"/>
          <w:szCs w:val="22"/>
        </w:rPr>
        <w:t>Usuarios especiales</w:t>
      </w:r>
    </w:p>
    <w:p w14:paraId="15A5A228" w14:textId="77777777" w:rsidR="00DD3684" w:rsidRPr="003C7339" w:rsidRDefault="00DD3684" w:rsidP="00DD3684">
      <w:pPr>
        <w:contextualSpacing/>
        <w:jc w:val="both"/>
        <w:rPr>
          <w:rFonts w:ascii="Arial" w:hAnsi="Arial" w:cs="Arial"/>
          <w:sz w:val="22"/>
          <w:szCs w:val="22"/>
        </w:rPr>
      </w:pPr>
    </w:p>
    <w:p w14:paraId="0E4A8711"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 xml:space="preserve">Jóvenes Rurales.  </w:t>
      </w:r>
    </w:p>
    <w:p w14:paraId="5C2C42EF"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Mujer Rural.</w:t>
      </w:r>
    </w:p>
    <w:p w14:paraId="2910A7A9"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Comunidades Negras, Afrocolombianas, Raizales y Palenqueras – NARP.</w:t>
      </w:r>
    </w:p>
    <w:p w14:paraId="7EFCDA41"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Comunidades indígenas y étnicas.</w:t>
      </w:r>
    </w:p>
    <w:p w14:paraId="454DE3FA"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Población calificada como Víctima.</w:t>
      </w:r>
    </w:p>
    <w:p w14:paraId="582FCB1B"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Población desmovilizada, reinsertada y reincorporada.</w:t>
      </w:r>
    </w:p>
    <w:p w14:paraId="3C8FAA1E"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Población vinculada al PNIS</w:t>
      </w:r>
    </w:p>
    <w:p w14:paraId="6E7E1C89"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Esquemas asociativos.</w:t>
      </w:r>
    </w:p>
    <w:p w14:paraId="7719933A"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Esquemas asociativos simplificados.</w:t>
      </w:r>
    </w:p>
    <w:p w14:paraId="2B3201CC" w14:textId="77777777" w:rsidR="00DD3684" w:rsidRPr="00641AAF" w:rsidRDefault="00DD3684" w:rsidP="00502FC8">
      <w:pPr>
        <w:pStyle w:val="Prrafodelista"/>
        <w:numPr>
          <w:ilvl w:val="0"/>
          <w:numId w:val="10"/>
        </w:numPr>
        <w:contextualSpacing/>
        <w:jc w:val="both"/>
        <w:rPr>
          <w:rFonts w:ascii="Arial" w:hAnsi="Arial" w:cs="Arial"/>
          <w:sz w:val="22"/>
          <w:szCs w:val="22"/>
        </w:rPr>
      </w:pPr>
      <w:r w:rsidRPr="00641AAF">
        <w:rPr>
          <w:rFonts w:ascii="Arial" w:hAnsi="Arial" w:cs="Arial"/>
          <w:sz w:val="22"/>
          <w:szCs w:val="22"/>
        </w:rPr>
        <w:t xml:space="preserve">Esquemas de Integración. </w:t>
      </w:r>
    </w:p>
    <w:p w14:paraId="387BADFA" w14:textId="77777777" w:rsidR="00DD3684" w:rsidRPr="003C7339" w:rsidRDefault="00DD3684" w:rsidP="00DD3684">
      <w:pPr>
        <w:contextualSpacing/>
        <w:jc w:val="both"/>
        <w:rPr>
          <w:rFonts w:ascii="Arial" w:hAnsi="Arial" w:cs="Arial"/>
          <w:sz w:val="22"/>
          <w:szCs w:val="22"/>
        </w:rPr>
      </w:pPr>
    </w:p>
    <w:p w14:paraId="7BCE1281" w14:textId="77777777" w:rsidR="00DD3684" w:rsidRDefault="00DD3684" w:rsidP="00502FC8">
      <w:pPr>
        <w:pStyle w:val="Prrafodelista"/>
        <w:numPr>
          <w:ilvl w:val="0"/>
          <w:numId w:val="11"/>
        </w:numPr>
        <w:ind w:left="0" w:firstLine="0"/>
        <w:contextualSpacing/>
        <w:jc w:val="both"/>
        <w:rPr>
          <w:rFonts w:ascii="Arial" w:hAnsi="Arial" w:cs="Arial"/>
          <w:sz w:val="22"/>
          <w:szCs w:val="22"/>
        </w:rPr>
      </w:pPr>
      <w:r w:rsidRPr="4FB0F017">
        <w:rPr>
          <w:rFonts w:ascii="Arial" w:hAnsi="Arial" w:cs="Arial"/>
          <w:sz w:val="22"/>
          <w:szCs w:val="22"/>
        </w:rPr>
        <w:t xml:space="preserve">Los recursos destinados al Incentivo a la Capitalización Rural (ICR) y las Líneas Especiales de Crédito (LEC), estarán sujetos a la disponibilidad presupuestal del MADR. </w:t>
      </w:r>
    </w:p>
    <w:p w14:paraId="07E07DDE" w14:textId="2BBF740A" w:rsidR="4FB0F017" w:rsidRDefault="4FB0F017" w:rsidP="009F4A7F">
      <w:pPr>
        <w:contextualSpacing/>
        <w:jc w:val="both"/>
        <w:rPr>
          <w:rFonts w:ascii="Arial" w:hAnsi="Arial" w:cs="Arial"/>
          <w:sz w:val="22"/>
          <w:szCs w:val="22"/>
        </w:rPr>
      </w:pPr>
    </w:p>
    <w:p w14:paraId="2BA8D208" w14:textId="221883F8" w:rsidR="00DD3684" w:rsidRDefault="00DD3684" w:rsidP="00502FC8">
      <w:pPr>
        <w:pStyle w:val="Prrafodelista"/>
        <w:numPr>
          <w:ilvl w:val="0"/>
          <w:numId w:val="11"/>
        </w:numPr>
        <w:ind w:left="0" w:firstLine="0"/>
        <w:contextualSpacing/>
        <w:jc w:val="both"/>
        <w:rPr>
          <w:rFonts w:ascii="Arial" w:hAnsi="Arial" w:cs="Arial"/>
          <w:sz w:val="22"/>
          <w:szCs w:val="22"/>
        </w:rPr>
      </w:pPr>
      <w:r w:rsidRPr="4FB0F017">
        <w:rPr>
          <w:rFonts w:ascii="Arial" w:hAnsi="Arial" w:cs="Arial"/>
          <w:sz w:val="22"/>
          <w:szCs w:val="22"/>
        </w:rPr>
        <w:t>Los beneficiarios que no clasifiquen en ninguna</w:t>
      </w:r>
      <w:r w:rsidR="00A06D4C">
        <w:rPr>
          <w:rFonts w:ascii="Arial" w:hAnsi="Arial" w:cs="Arial"/>
          <w:sz w:val="22"/>
          <w:szCs w:val="22"/>
        </w:rPr>
        <w:t xml:space="preserve"> </w:t>
      </w:r>
      <w:r w:rsidRPr="4FB0F017">
        <w:rPr>
          <w:rFonts w:ascii="Arial" w:hAnsi="Arial" w:cs="Arial"/>
          <w:sz w:val="22"/>
          <w:szCs w:val="22"/>
        </w:rPr>
        <w:t>de las categorías de usuarios especiales serán clasificados dentro de cada uno de los tres tipos de productor según correspondan sus activos totales e ingresos brutos anuales.</w:t>
      </w:r>
    </w:p>
    <w:p w14:paraId="068E376E" w14:textId="77777777" w:rsidR="00DD3684" w:rsidRDefault="00DD3684" w:rsidP="00DD3684">
      <w:pPr>
        <w:pStyle w:val="Prrafodelista"/>
        <w:ind w:left="0"/>
        <w:contextualSpacing/>
        <w:jc w:val="both"/>
        <w:rPr>
          <w:rFonts w:ascii="Arial" w:hAnsi="Arial" w:cs="Arial"/>
          <w:sz w:val="22"/>
          <w:szCs w:val="22"/>
        </w:rPr>
      </w:pPr>
    </w:p>
    <w:p w14:paraId="18F1251F" w14:textId="1B94F72D" w:rsidR="00DD3684" w:rsidRPr="003C6B76" w:rsidRDefault="00DD3684" w:rsidP="00502FC8">
      <w:pPr>
        <w:pStyle w:val="Prrafodelista"/>
        <w:numPr>
          <w:ilvl w:val="0"/>
          <w:numId w:val="11"/>
        </w:numPr>
        <w:ind w:left="0" w:firstLine="0"/>
        <w:contextualSpacing/>
        <w:jc w:val="both"/>
        <w:rPr>
          <w:rFonts w:ascii="Arial" w:hAnsi="Arial" w:cs="Arial"/>
          <w:sz w:val="22"/>
          <w:szCs w:val="22"/>
        </w:rPr>
      </w:pPr>
      <w:r w:rsidRPr="4FB0F017">
        <w:rPr>
          <w:rFonts w:ascii="Arial" w:hAnsi="Arial" w:cs="Arial"/>
          <w:sz w:val="22"/>
          <w:szCs w:val="22"/>
        </w:rPr>
        <w:t xml:space="preserve"> Para efectos de esta Resolución, se entenderá</w:t>
      </w:r>
      <w:r w:rsidR="004511DA">
        <w:rPr>
          <w:rFonts w:ascii="Arial" w:hAnsi="Arial" w:cs="Arial"/>
          <w:sz w:val="22"/>
          <w:szCs w:val="22"/>
        </w:rPr>
        <w:t xml:space="preserve"> </w:t>
      </w:r>
      <w:r w:rsidRPr="4FB0F017">
        <w:rPr>
          <w:rFonts w:ascii="Arial" w:hAnsi="Arial" w:cs="Arial"/>
          <w:sz w:val="22"/>
          <w:szCs w:val="22"/>
        </w:rPr>
        <w:t>por agropecuario/a el desarrollo de las actividades económicas agrícolas, pecuarias, de crianza de especies animales menores, apícolas, avícolas, porcícolas, forestales, acuícolas, de crianza de productos del mar, de zoocría y pesqueras, a menos que se señale otro alcance.</w:t>
      </w:r>
    </w:p>
    <w:p w14:paraId="3A4A44F6" w14:textId="77777777" w:rsidR="00DD3684" w:rsidRDefault="00DD3684" w:rsidP="00DD3684">
      <w:pPr>
        <w:pStyle w:val="Prrafodelista"/>
        <w:ind w:left="0"/>
        <w:contextualSpacing/>
        <w:jc w:val="both"/>
        <w:rPr>
          <w:rFonts w:ascii="Arial" w:hAnsi="Arial" w:cs="Arial"/>
          <w:sz w:val="22"/>
          <w:szCs w:val="22"/>
        </w:rPr>
      </w:pPr>
    </w:p>
    <w:p w14:paraId="6741C04C" w14:textId="673D9763" w:rsidR="00E577F6" w:rsidRDefault="00204097" w:rsidP="00502FC8">
      <w:pPr>
        <w:pStyle w:val="Prrafodelista"/>
        <w:numPr>
          <w:ilvl w:val="0"/>
          <w:numId w:val="4"/>
        </w:numPr>
        <w:ind w:left="0" w:firstLine="0"/>
        <w:contextualSpacing/>
        <w:jc w:val="both"/>
        <w:rPr>
          <w:rFonts w:ascii="Arial" w:hAnsi="Arial" w:cs="Arial"/>
          <w:sz w:val="22"/>
          <w:szCs w:val="22"/>
        </w:rPr>
      </w:pPr>
      <w:r w:rsidRPr="00204097">
        <w:rPr>
          <w:rFonts w:ascii="Arial" w:hAnsi="Arial" w:cs="Arial"/>
          <w:b/>
          <w:bCs/>
          <w:sz w:val="22"/>
          <w:szCs w:val="22"/>
        </w:rPr>
        <w:t>Plazos de los créditos.</w:t>
      </w:r>
      <w:r w:rsidRPr="00204097">
        <w:rPr>
          <w:rFonts w:ascii="Arial" w:hAnsi="Arial" w:cs="Arial"/>
          <w:sz w:val="22"/>
          <w:szCs w:val="22"/>
        </w:rPr>
        <w:t xml:space="preserve"> El plazo de los créditos beneficiados con el subsidio LEC o el ICR se podrá acordar libremente entre el Intermediario Financiero y el Productor</w:t>
      </w:r>
      <w:r w:rsidR="000556C4">
        <w:rPr>
          <w:rFonts w:ascii="Arial" w:hAnsi="Arial" w:cs="Arial"/>
          <w:sz w:val="22"/>
          <w:szCs w:val="22"/>
        </w:rPr>
        <w:t>,</w:t>
      </w:r>
      <w:r w:rsidRPr="00204097">
        <w:rPr>
          <w:rFonts w:ascii="Arial" w:hAnsi="Arial" w:cs="Arial"/>
          <w:sz w:val="22"/>
          <w:szCs w:val="22"/>
        </w:rPr>
        <w:t xml:space="preserve"> de acuerdo con el proyecto productivo</w:t>
      </w:r>
      <w:r w:rsidR="000F69AA">
        <w:rPr>
          <w:rFonts w:ascii="Arial" w:hAnsi="Arial" w:cs="Arial"/>
          <w:sz w:val="22"/>
          <w:szCs w:val="22"/>
        </w:rPr>
        <w:t>,</w:t>
      </w:r>
      <w:r w:rsidRPr="00204097">
        <w:rPr>
          <w:rFonts w:ascii="Arial" w:hAnsi="Arial" w:cs="Arial"/>
          <w:sz w:val="22"/>
          <w:szCs w:val="22"/>
        </w:rPr>
        <w:t xml:space="preserve"> </w:t>
      </w:r>
      <w:r w:rsidR="000F69AA">
        <w:rPr>
          <w:rFonts w:ascii="Arial" w:hAnsi="Arial" w:cs="Arial"/>
          <w:sz w:val="22"/>
          <w:szCs w:val="22"/>
        </w:rPr>
        <w:t xml:space="preserve">y </w:t>
      </w:r>
      <w:r w:rsidRPr="00204097">
        <w:rPr>
          <w:rFonts w:ascii="Arial" w:hAnsi="Arial" w:cs="Arial"/>
          <w:sz w:val="22"/>
          <w:szCs w:val="22"/>
        </w:rPr>
        <w:t xml:space="preserve">teniendo en cuenta los periodos improductivos entre </w:t>
      </w:r>
      <w:r w:rsidR="000556C4">
        <w:rPr>
          <w:rFonts w:ascii="Arial" w:hAnsi="Arial" w:cs="Arial"/>
          <w:sz w:val="22"/>
          <w:szCs w:val="22"/>
        </w:rPr>
        <w:t xml:space="preserve">la </w:t>
      </w:r>
      <w:r w:rsidRPr="00204097">
        <w:rPr>
          <w:rFonts w:ascii="Arial" w:hAnsi="Arial" w:cs="Arial"/>
          <w:sz w:val="22"/>
          <w:szCs w:val="22"/>
        </w:rPr>
        <w:t>siembra y cosecha para su producción o transformación y el plazo necesario para su comercialización.</w:t>
      </w:r>
    </w:p>
    <w:p w14:paraId="5DA20EDC" w14:textId="77777777" w:rsidR="001B7188" w:rsidRDefault="001B7188" w:rsidP="001B7188">
      <w:pPr>
        <w:pStyle w:val="Prrafodelista"/>
        <w:ind w:left="0"/>
        <w:contextualSpacing/>
        <w:jc w:val="both"/>
        <w:rPr>
          <w:rFonts w:ascii="Arial" w:hAnsi="Arial" w:cs="Arial"/>
          <w:sz w:val="22"/>
          <w:szCs w:val="22"/>
        </w:rPr>
      </w:pPr>
    </w:p>
    <w:p w14:paraId="784C10AC" w14:textId="1EE0B3ED" w:rsidR="001B7188" w:rsidRDefault="001B7188" w:rsidP="00502FC8">
      <w:pPr>
        <w:pStyle w:val="Prrafodelista"/>
        <w:numPr>
          <w:ilvl w:val="0"/>
          <w:numId w:val="4"/>
        </w:numPr>
        <w:ind w:left="0" w:firstLine="0"/>
        <w:contextualSpacing/>
        <w:jc w:val="both"/>
        <w:rPr>
          <w:rFonts w:ascii="Arial" w:hAnsi="Arial" w:cs="Arial"/>
          <w:sz w:val="22"/>
          <w:szCs w:val="22"/>
        </w:rPr>
      </w:pPr>
      <w:r w:rsidRPr="001B7188">
        <w:rPr>
          <w:rFonts w:ascii="Arial" w:hAnsi="Arial" w:cs="Arial"/>
          <w:b/>
          <w:bCs/>
          <w:sz w:val="22"/>
          <w:szCs w:val="22"/>
        </w:rPr>
        <w:lastRenderedPageBreak/>
        <w:t>Garantías del Fondo Agropecuario de Garantías (FAG).</w:t>
      </w:r>
      <w:r w:rsidRPr="001B7188">
        <w:rPr>
          <w:rFonts w:ascii="Arial" w:hAnsi="Arial" w:cs="Arial"/>
          <w:sz w:val="22"/>
          <w:szCs w:val="22"/>
        </w:rPr>
        <w:t xml:space="preserve"> Los créditos beneficiados con el subsidio a la tasa de las LEC o el ICR podrán acceder a las garantías del Fondo Agropecuario de Garantías (FAG) en las condiciones ordinarias establecidas por la CNCA, salvo en los casos en los que se indique una condición especial.</w:t>
      </w:r>
    </w:p>
    <w:p w14:paraId="65252017" w14:textId="77777777" w:rsidR="001C4E2A" w:rsidRPr="00A75759" w:rsidRDefault="001C4E2A" w:rsidP="00A75759">
      <w:pPr>
        <w:pStyle w:val="Prrafodelista"/>
        <w:rPr>
          <w:rFonts w:ascii="Arial" w:hAnsi="Arial" w:cs="Arial"/>
          <w:sz w:val="22"/>
          <w:szCs w:val="22"/>
        </w:rPr>
      </w:pPr>
    </w:p>
    <w:p w14:paraId="600C2F9C" w14:textId="551EF641" w:rsidR="001C4E2A" w:rsidRPr="004C5908" w:rsidRDefault="001C4E2A" w:rsidP="001C4E2A">
      <w:pPr>
        <w:pStyle w:val="Prrafodelista"/>
        <w:numPr>
          <w:ilvl w:val="0"/>
          <w:numId w:val="4"/>
        </w:numPr>
        <w:ind w:left="0" w:firstLine="0"/>
        <w:contextualSpacing/>
        <w:jc w:val="both"/>
        <w:rPr>
          <w:rFonts w:ascii="Arial" w:hAnsi="Arial" w:cs="Arial"/>
          <w:b/>
          <w:bCs/>
          <w:sz w:val="22"/>
          <w:szCs w:val="22"/>
        </w:rPr>
      </w:pPr>
      <w:r w:rsidRPr="00AD51F9">
        <w:rPr>
          <w:rFonts w:ascii="Arial" w:hAnsi="Arial" w:cs="Arial"/>
          <w:b/>
          <w:bCs/>
          <w:sz w:val="22"/>
          <w:szCs w:val="22"/>
        </w:rPr>
        <w:t>Acceso a los incentivos.</w:t>
      </w:r>
      <w:r w:rsidRPr="1C52539A">
        <w:rPr>
          <w:rFonts w:ascii="Arial" w:hAnsi="Arial" w:cs="Arial"/>
          <w:b/>
          <w:bCs/>
          <w:sz w:val="22"/>
          <w:szCs w:val="22"/>
        </w:rPr>
        <w:t xml:space="preserve"> </w:t>
      </w:r>
      <w:r w:rsidRPr="1C52539A">
        <w:rPr>
          <w:rFonts w:ascii="Arial" w:hAnsi="Arial" w:cs="Arial"/>
          <w:sz w:val="22"/>
          <w:szCs w:val="22"/>
        </w:rPr>
        <w:t>Los usuarios que aspiren a algun</w:t>
      </w:r>
      <w:r w:rsidR="00AD51F9">
        <w:rPr>
          <w:rFonts w:ascii="Arial" w:hAnsi="Arial" w:cs="Arial"/>
          <w:sz w:val="22"/>
          <w:szCs w:val="22"/>
        </w:rPr>
        <w:t>o</w:t>
      </w:r>
      <w:r w:rsidRPr="1C52539A">
        <w:rPr>
          <w:rFonts w:ascii="Arial" w:hAnsi="Arial" w:cs="Arial"/>
          <w:sz w:val="22"/>
          <w:szCs w:val="22"/>
        </w:rPr>
        <w:t>(s) de l</w:t>
      </w:r>
      <w:r w:rsidR="00AD51F9">
        <w:rPr>
          <w:rFonts w:ascii="Arial" w:hAnsi="Arial" w:cs="Arial"/>
          <w:sz w:val="22"/>
          <w:szCs w:val="22"/>
        </w:rPr>
        <w:t xml:space="preserve">os incentivos </w:t>
      </w:r>
      <w:r w:rsidRPr="1C52539A">
        <w:rPr>
          <w:rFonts w:ascii="Arial" w:hAnsi="Arial" w:cs="Arial"/>
          <w:sz w:val="22"/>
          <w:szCs w:val="22"/>
        </w:rPr>
        <w:t>de que trata el Título Primero de la presente Resolución deberán contar con un seguro agropecuario, para el caso de las actividades financiables en que aplique.</w:t>
      </w:r>
    </w:p>
    <w:p w14:paraId="4E8B6231" w14:textId="77777777" w:rsidR="001C4E2A" w:rsidRDefault="001C4E2A" w:rsidP="001C4E2A">
      <w:pPr>
        <w:pStyle w:val="Prrafodelista"/>
        <w:ind w:left="0"/>
        <w:contextualSpacing/>
        <w:jc w:val="both"/>
        <w:rPr>
          <w:rFonts w:ascii="Arial" w:hAnsi="Arial" w:cs="Arial"/>
          <w:b/>
          <w:bCs/>
          <w:sz w:val="22"/>
          <w:szCs w:val="22"/>
        </w:rPr>
      </w:pPr>
    </w:p>
    <w:p w14:paraId="5442C891" w14:textId="4E96A02B" w:rsidR="001C4E2A" w:rsidRDefault="001C4E2A" w:rsidP="001C4E2A">
      <w:pPr>
        <w:pStyle w:val="Prrafodelista"/>
        <w:ind w:left="0"/>
        <w:contextualSpacing/>
        <w:jc w:val="both"/>
        <w:rPr>
          <w:rFonts w:ascii="Arial" w:hAnsi="Arial" w:cs="Arial"/>
          <w:sz w:val="22"/>
          <w:szCs w:val="22"/>
        </w:rPr>
      </w:pPr>
      <w:r>
        <w:rPr>
          <w:rFonts w:ascii="Arial" w:hAnsi="Arial" w:cs="Arial"/>
          <w:b/>
          <w:bCs/>
          <w:sz w:val="22"/>
          <w:szCs w:val="22"/>
        </w:rPr>
        <w:t xml:space="preserve">Parágrafo Primero. </w:t>
      </w:r>
      <w:r w:rsidRPr="004C5908">
        <w:rPr>
          <w:rFonts w:ascii="Arial" w:hAnsi="Arial" w:cs="Arial"/>
          <w:sz w:val="22"/>
          <w:szCs w:val="22"/>
        </w:rPr>
        <w:t>Esta</w:t>
      </w:r>
      <w:r>
        <w:rPr>
          <w:rFonts w:ascii="Arial" w:hAnsi="Arial" w:cs="Arial"/>
          <w:b/>
          <w:bCs/>
          <w:sz w:val="22"/>
          <w:szCs w:val="22"/>
        </w:rPr>
        <w:t xml:space="preserve"> </w:t>
      </w:r>
      <w:r>
        <w:rPr>
          <w:rFonts w:ascii="Arial" w:hAnsi="Arial" w:cs="Arial"/>
          <w:sz w:val="22"/>
          <w:szCs w:val="22"/>
        </w:rPr>
        <w:t>medida aplicará siempre y cuando haya disponibilidad de recursos con destino al Incentivo al Seguro Agropecuario – ISA</w:t>
      </w:r>
      <w:r w:rsidR="00E137DB">
        <w:rPr>
          <w:rFonts w:ascii="Arial" w:hAnsi="Arial" w:cs="Arial"/>
          <w:sz w:val="22"/>
          <w:szCs w:val="22"/>
        </w:rPr>
        <w:t>.</w:t>
      </w:r>
    </w:p>
    <w:p w14:paraId="2115498E" w14:textId="77777777" w:rsidR="001C4E2A" w:rsidRDefault="001C4E2A" w:rsidP="001C4E2A">
      <w:pPr>
        <w:pStyle w:val="Prrafodelista"/>
        <w:ind w:left="0"/>
        <w:contextualSpacing/>
        <w:jc w:val="both"/>
        <w:rPr>
          <w:rFonts w:ascii="Arial" w:hAnsi="Arial" w:cs="Arial"/>
          <w:sz w:val="22"/>
          <w:szCs w:val="22"/>
        </w:rPr>
      </w:pPr>
    </w:p>
    <w:p w14:paraId="48B38F1F" w14:textId="07A199F0" w:rsidR="001C4E2A" w:rsidRPr="000806AC" w:rsidRDefault="001C4E2A" w:rsidP="001C4E2A">
      <w:pPr>
        <w:pStyle w:val="Prrafodelista"/>
        <w:ind w:left="0"/>
        <w:contextualSpacing/>
        <w:jc w:val="both"/>
        <w:rPr>
          <w:rFonts w:ascii="Arial" w:hAnsi="Arial" w:cs="Arial"/>
          <w:sz w:val="22"/>
          <w:szCs w:val="22"/>
        </w:rPr>
      </w:pPr>
      <w:r w:rsidRPr="004C5908">
        <w:rPr>
          <w:rFonts w:ascii="Arial" w:hAnsi="Arial" w:cs="Arial"/>
          <w:b/>
          <w:bCs/>
          <w:sz w:val="22"/>
          <w:szCs w:val="22"/>
        </w:rPr>
        <w:t>Parágrafo Segundo.</w:t>
      </w:r>
      <w:r>
        <w:rPr>
          <w:rFonts w:ascii="Arial" w:hAnsi="Arial" w:cs="Arial"/>
          <w:b/>
          <w:bCs/>
          <w:sz w:val="22"/>
          <w:szCs w:val="22"/>
        </w:rPr>
        <w:t xml:space="preserve"> </w:t>
      </w:r>
      <w:r>
        <w:rPr>
          <w:rFonts w:ascii="Arial" w:hAnsi="Arial" w:cs="Arial"/>
          <w:sz w:val="22"/>
          <w:szCs w:val="22"/>
        </w:rPr>
        <w:t>El Comité Administrativo del Contrato Interadministrativo que se celebré para la operativización de l</w:t>
      </w:r>
      <w:r w:rsidR="0055128F">
        <w:rPr>
          <w:rFonts w:ascii="Arial" w:hAnsi="Arial" w:cs="Arial"/>
          <w:sz w:val="22"/>
          <w:szCs w:val="22"/>
        </w:rPr>
        <w:t>o</w:t>
      </w:r>
      <w:r>
        <w:rPr>
          <w:rFonts w:ascii="Arial" w:hAnsi="Arial" w:cs="Arial"/>
          <w:sz w:val="22"/>
          <w:szCs w:val="22"/>
        </w:rPr>
        <w:t>s</w:t>
      </w:r>
      <w:r w:rsidR="0055128F">
        <w:rPr>
          <w:rFonts w:ascii="Arial" w:hAnsi="Arial" w:cs="Arial"/>
          <w:sz w:val="22"/>
          <w:szCs w:val="22"/>
        </w:rPr>
        <w:t xml:space="preserve"> incentivos</w:t>
      </w:r>
      <w:r>
        <w:rPr>
          <w:rFonts w:ascii="Arial" w:hAnsi="Arial" w:cs="Arial"/>
          <w:sz w:val="22"/>
          <w:szCs w:val="22"/>
        </w:rPr>
        <w:t>, definirá la fecha máxima de aplicación de esta medida.</w:t>
      </w:r>
    </w:p>
    <w:p w14:paraId="2BDA81D1" w14:textId="77777777" w:rsidR="00A7742C" w:rsidRPr="00A7742C" w:rsidRDefault="00A7742C" w:rsidP="00A7742C">
      <w:pPr>
        <w:pStyle w:val="Prrafodelista"/>
        <w:rPr>
          <w:rFonts w:ascii="Arial" w:hAnsi="Arial" w:cs="Arial"/>
          <w:sz w:val="22"/>
          <w:szCs w:val="22"/>
        </w:rPr>
      </w:pPr>
    </w:p>
    <w:p w14:paraId="215E3400" w14:textId="1079838D" w:rsidR="00A7742C" w:rsidRDefault="00A7742C" w:rsidP="00502FC8">
      <w:pPr>
        <w:pStyle w:val="Prrafodelista"/>
        <w:numPr>
          <w:ilvl w:val="0"/>
          <w:numId w:val="4"/>
        </w:numPr>
        <w:ind w:left="0" w:firstLine="0"/>
        <w:contextualSpacing/>
        <w:jc w:val="both"/>
        <w:rPr>
          <w:rFonts w:ascii="Arial" w:hAnsi="Arial" w:cs="Arial"/>
          <w:sz w:val="22"/>
          <w:szCs w:val="22"/>
        </w:rPr>
      </w:pPr>
      <w:r w:rsidRPr="06457A15">
        <w:rPr>
          <w:rFonts w:ascii="Arial" w:hAnsi="Arial" w:cs="Arial"/>
          <w:b/>
          <w:bCs/>
          <w:sz w:val="22"/>
          <w:szCs w:val="22"/>
        </w:rPr>
        <w:t>Facultad</w:t>
      </w:r>
      <w:r w:rsidR="24FEE561" w:rsidRPr="06457A15">
        <w:rPr>
          <w:rFonts w:ascii="Arial" w:hAnsi="Arial" w:cs="Arial"/>
          <w:b/>
          <w:bCs/>
          <w:sz w:val="22"/>
          <w:szCs w:val="22"/>
        </w:rPr>
        <w:t>es</w:t>
      </w:r>
      <w:r w:rsidRPr="06457A15">
        <w:rPr>
          <w:rFonts w:ascii="Arial" w:hAnsi="Arial" w:cs="Arial"/>
          <w:b/>
          <w:bCs/>
          <w:sz w:val="22"/>
          <w:szCs w:val="22"/>
        </w:rPr>
        <w:t xml:space="preserve"> del MADR.</w:t>
      </w:r>
      <w:r w:rsidRPr="06457A15">
        <w:rPr>
          <w:rFonts w:ascii="Arial" w:hAnsi="Arial" w:cs="Arial"/>
          <w:sz w:val="22"/>
          <w:szCs w:val="22"/>
        </w:rPr>
        <w:t xml:space="preserve"> El MADR señalará los destinos de crédito de conformidad con su política sectorial y en el marco de las actividades financiables establecidas por la CNCA. Así mismo, y de acuerdo con su disponibilidad presupuestal para estos propósitos, el MADR indicará el nivel de subsidio o incentivo para cada LEC o ICR, sin superar los límites por línea y/o tipo de productor definidos en la presente Resolución.</w:t>
      </w:r>
    </w:p>
    <w:p w14:paraId="67D37C49" w14:textId="77777777" w:rsidR="00913BD6" w:rsidRPr="00913BD6" w:rsidRDefault="00913BD6" w:rsidP="00913BD6">
      <w:pPr>
        <w:pStyle w:val="Prrafodelista"/>
        <w:rPr>
          <w:rFonts w:ascii="Arial" w:hAnsi="Arial" w:cs="Arial"/>
          <w:sz w:val="22"/>
          <w:szCs w:val="22"/>
        </w:rPr>
      </w:pPr>
    </w:p>
    <w:p w14:paraId="0E4EBDFB" w14:textId="77777777" w:rsidR="00310A9C" w:rsidRDefault="00913BD6" w:rsidP="00502FC8">
      <w:pPr>
        <w:pStyle w:val="Prrafodelista"/>
        <w:numPr>
          <w:ilvl w:val="0"/>
          <w:numId w:val="12"/>
        </w:numPr>
        <w:ind w:left="0" w:firstLine="0"/>
        <w:contextualSpacing/>
        <w:jc w:val="both"/>
        <w:rPr>
          <w:rFonts w:ascii="Arial" w:hAnsi="Arial" w:cs="Arial"/>
          <w:sz w:val="22"/>
          <w:szCs w:val="22"/>
        </w:rPr>
      </w:pPr>
      <w:r w:rsidRPr="00310A9C">
        <w:rPr>
          <w:rFonts w:ascii="Arial" w:hAnsi="Arial" w:cs="Arial"/>
          <w:sz w:val="22"/>
          <w:szCs w:val="22"/>
        </w:rPr>
        <w:t>Conforme a la estrategia de intervención integral de los territorios del Gobierno, el MADR podrá focalizar los subsidios en los productores agropecuarios de los territorios mencionados.</w:t>
      </w:r>
    </w:p>
    <w:p w14:paraId="604524A5" w14:textId="721B03B8" w:rsidR="00310A9C" w:rsidRDefault="00310A9C" w:rsidP="00310A9C">
      <w:pPr>
        <w:pStyle w:val="Prrafodelista"/>
        <w:ind w:left="0"/>
        <w:contextualSpacing/>
        <w:jc w:val="both"/>
        <w:rPr>
          <w:rFonts w:ascii="Arial" w:hAnsi="Arial" w:cs="Arial"/>
          <w:sz w:val="22"/>
          <w:szCs w:val="22"/>
        </w:rPr>
      </w:pPr>
    </w:p>
    <w:p w14:paraId="3E2D383E" w14:textId="237BD272" w:rsidR="00913BD6" w:rsidRPr="00310A9C" w:rsidRDefault="00913BD6" w:rsidP="00502FC8">
      <w:pPr>
        <w:pStyle w:val="Prrafodelista"/>
        <w:numPr>
          <w:ilvl w:val="0"/>
          <w:numId w:val="12"/>
        </w:numPr>
        <w:ind w:left="0" w:firstLine="0"/>
        <w:contextualSpacing/>
        <w:jc w:val="both"/>
        <w:rPr>
          <w:rFonts w:ascii="Arial" w:hAnsi="Arial" w:cs="Arial"/>
          <w:sz w:val="22"/>
          <w:szCs w:val="22"/>
        </w:rPr>
      </w:pPr>
      <w:r w:rsidRPr="00310A9C">
        <w:rPr>
          <w:rFonts w:ascii="Arial" w:hAnsi="Arial" w:cs="Arial"/>
          <w:sz w:val="22"/>
          <w:szCs w:val="22"/>
        </w:rPr>
        <w:t>En todo caso, la CNCA deberá ser informada de los sectores que se incluyan y/o excluyan en la vigencia, así como de la focalización en la intervención integral de los territorios.</w:t>
      </w:r>
    </w:p>
    <w:p w14:paraId="7696AB03" w14:textId="77777777" w:rsidR="00913BD6" w:rsidRPr="00913BD6" w:rsidRDefault="00913BD6" w:rsidP="00913BD6">
      <w:pPr>
        <w:pStyle w:val="Prrafodelista"/>
        <w:rPr>
          <w:rFonts w:ascii="Arial" w:hAnsi="Arial" w:cs="Arial"/>
          <w:sz w:val="22"/>
          <w:szCs w:val="22"/>
        </w:rPr>
      </w:pPr>
    </w:p>
    <w:p w14:paraId="17FCC770" w14:textId="544F8A36" w:rsidR="00913BD6" w:rsidRDefault="009403F2" w:rsidP="00502FC8">
      <w:pPr>
        <w:pStyle w:val="Prrafodelista"/>
        <w:numPr>
          <w:ilvl w:val="0"/>
          <w:numId w:val="4"/>
        </w:numPr>
        <w:ind w:left="0" w:firstLine="0"/>
        <w:contextualSpacing/>
        <w:jc w:val="both"/>
        <w:rPr>
          <w:rFonts w:ascii="Arial" w:hAnsi="Arial" w:cs="Arial"/>
          <w:sz w:val="22"/>
          <w:szCs w:val="22"/>
        </w:rPr>
      </w:pPr>
      <w:r w:rsidRPr="009403F2">
        <w:rPr>
          <w:rFonts w:ascii="Arial" w:hAnsi="Arial" w:cs="Arial"/>
          <w:b/>
          <w:bCs/>
          <w:sz w:val="22"/>
          <w:szCs w:val="22"/>
        </w:rPr>
        <w:t>Acceso a un solo tipo de subsidio.</w:t>
      </w:r>
      <w:r w:rsidRPr="009403F2">
        <w:rPr>
          <w:rFonts w:ascii="Arial" w:hAnsi="Arial" w:cs="Arial"/>
          <w:sz w:val="22"/>
          <w:szCs w:val="22"/>
        </w:rPr>
        <w:t xml:space="preserve"> Los créditos financiados con tasa subsidiada, con recursos del MADR o de cualquier otra entidad con la que FINAGRO suscriba convenios para el otorgamiento de este tipo de incentivos, no podrán acceder al Incentivo a la Capitalización Rural (ICR) o viceversa.</w:t>
      </w:r>
    </w:p>
    <w:p w14:paraId="21D138DE" w14:textId="77777777" w:rsidR="00F1221A" w:rsidRPr="00D6620C" w:rsidRDefault="00F1221A" w:rsidP="00F1221A">
      <w:pPr>
        <w:spacing w:before="180"/>
        <w:jc w:val="center"/>
        <w:rPr>
          <w:rFonts w:ascii="Arial" w:hAnsi="Arial" w:cs="Arial"/>
          <w:b/>
          <w:bCs/>
          <w:color w:val="000000" w:themeColor="text1"/>
          <w:sz w:val="22"/>
          <w:szCs w:val="22"/>
          <w:lang w:val="es-ES_tradnl"/>
        </w:rPr>
      </w:pPr>
      <w:r w:rsidRPr="00D6620C">
        <w:rPr>
          <w:rFonts w:ascii="Arial" w:hAnsi="Arial" w:cs="Arial"/>
          <w:b/>
          <w:bCs/>
          <w:color w:val="000000" w:themeColor="text1"/>
          <w:sz w:val="22"/>
          <w:szCs w:val="22"/>
          <w:lang w:val="es-ES_tradnl"/>
        </w:rPr>
        <w:t>CAPITULO SEGUNDO</w:t>
      </w:r>
    </w:p>
    <w:p w14:paraId="727F4E66" w14:textId="77777777" w:rsidR="00F1221A" w:rsidRPr="00D6620C" w:rsidRDefault="00F1221A" w:rsidP="00F1221A">
      <w:pPr>
        <w:jc w:val="center"/>
        <w:rPr>
          <w:rFonts w:ascii="Arial" w:hAnsi="Arial" w:cs="Arial"/>
          <w:b/>
          <w:bCs/>
          <w:color w:val="000000" w:themeColor="text1"/>
          <w:sz w:val="22"/>
          <w:szCs w:val="22"/>
          <w:lang w:val="es-ES_tradnl"/>
        </w:rPr>
      </w:pPr>
      <w:r>
        <w:rPr>
          <w:rFonts w:ascii="Arial" w:hAnsi="Arial" w:cs="Arial"/>
          <w:b/>
          <w:bCs/>
          <w:color w:val="000000" w:themeColor="text1"/>
          <w:sz w:val="22"/>
          <w:szCs w:val="22"/>
          <w:lang w:val="es-ES_tradnl"/>
        </w:rPr>
        <w:t xml:space="preserve">DEL </w:t>
      </w:r>
      <w:r w:rsidRPr="00D6620C">
        <w:rPr>
          <w:rFonts w:ascii="Arial" w:hAnsi="Arial" w:cs="Arial"/>
          <w:b/>
          <w:bCs/>
          <w:color w:val="000000" w:themeColor="text1"/>
          <w:sz w:val="22"/>
          <w:szCs w:val="22"/>
          <w:lang w:val="es-ES_tradnl"/>
        </w:rPr>
        <w:t xml:space="preserve">INCENTIVO A LA CAPITALIZACIÓN RURAL </w:t>
      </w:r>
      <w:r>
        <w:rPr>
          <w:rFonts w:ascii="Arial" w:hAnsi="Arial" w:cs="Arial"/>
          <w:b/>
          <w:bCs/>
          <w:color w:val="000000" w:themeColor="text1"/>
          <w:sz w:val="22"/>
          <w:szCs w:val="22"/>
          <w:lang w:val="es-ES_tradnl"/>
        </w:rPr>
        <w:t>(</w:t>
      </w:r>
      <w:r w:rsidRPr="00D6620C">
        <w:rPr>
          <w:rFonts w:ascii="Arial" w:hAnsi="Arial" w:cs="Arial"/>
          <w:b/>
          <w:bCs/>
          <w:color w:val="000000" w:themeColor="text1"/>
          <w:sz w:val="22"/>
          <w:szCs w:val="22"/>
          <w:lang w:val="es-ES_tradnl"/>
        </w:rPr>
        <w:t>ICR</w:t>
      </w:r>
      <w:r>
        <w:rPr>
          <w:rFonts w:ascii="Arial" w:hAnsi="Arial" w:cs="Arial"/>
          <w:b/>
          <w:bCs/>
          <w:color w:val="000000" w:themeColor="text1"/>
          <w:sz w:val="22"/>
          <w:szCs w:val="22"/>
          <w:lang w:val="es-ES_tradnl"/>
        </w:rPr>
        <w:t>)</w:t>
      </w:r>
    </w:p>
    <w:p w14:paraId="514BC56F" w14:textId="77777777" w:rsidR="00F1221A" w:rsidRPr="00F1221A" w:rsidRDefault="00F1221A" w:rsidP="00F1221A">
      <w:pPr>
        <w:pStyle w:val="Prrafodelista"/>
        <w:ind w:left="0"/>
        <w:contextualSpacing/>
        <w:jc w:val="both"/>
        <w:rPr>
          <w:rFonts w:ascii="Arial" w:hAnsi="Arial" w:cs="Arial"/>
          <w:b/>
          <w:bCs/>
          <w:sz w:val="22"/>
          <w:szCs w:val="22"/>
          <w:lang w:val="es-ES_tradnl"/>
        </w:rPr>
      </w:pPr>
    </w:p>
    <w:p w14:paraId="7A330220" w14:textId="41A74841" w:rsidR="00F1221A" w:rsidRDefault="00123114" w:rsidP="00502FC8">
      <w:pPr>
        <w:pStyle w:val="Prrafodelista"/>
        <w:numPr>
          <w:ilvl w:val="0"/>
          <w:numId w:val="4"/>
        </w:numPr>
        <w:ind w:left="0" w:firstLine="0"/>
        <w:contextualSpacing/>
        <w:jc w:val="both"/>
        <w:rPr>
          <w:rFonts w:ascii="Arial" w:hAnsi="Arial" w:cs="Arial"/>
          <w:sz w:val="22"/>
          <w:szCs w:val="22"/>
        </w:rPr>
      </w:pPr>
      <w:r w:rsidRPr="00123114">
        <w:rPr>
          <w:rFonts w:ascii="Arial" w:hAnsi="Arial" w:cs="Arial"/>
          <w:b/>
          <w:bCs/>
          <w:sz w:val="22"/>
          <w:szCs w:val="22"/>
        </w:rPr>
        <w:t>Distribución de los recursos de ICR.</w:t>
      </w:r>
      <w:r w:rsidRPr="00123114">
        <w:rPr>
          <w:rFonts w:ascii="Arial" w:hAnsi="Arial" w:cs="Arial"/>
          <w:sz w:val="22"/>
          <w:szCs w:val="22"/>
        </w:rPr>
        <w:t xml:space="preserve"> La distribución de los recursos dispuestos mediante contrato interadministrativo suscrito entre el MADR y FINAGRO para el otorgamiento del ICR, serán determinados por el MADR.</w:t>
      </w:r>
    </w:p>
    <w:p w14:paraId="38933D1E" w14:textId="77777777" w:rsidR="007C6E89" w:rsidRDefault="007C6E89" w:rsidP="007C6E89">
      <w:pPr>
        <w:pStyle w:val="Prrafodelista"/>
        <w:ind w:left="0"/>
        <w:contextualSpacing/>
        <w:jc w:val="both"/>
        <w:rPr>
          <w:rFonts w:ascii="Arial" w:hAnsi="Arial" w:cs="Arial"/>
          <w:sz w:val="22"/>
          <w:szCs w:val="22"/>
        </w:rPr>
      </w:pPr>
    </w:p>
    <w:p w14:paraId="053099B3" w14:textId="2E70F055" w:rsidR="007C6E89" w:rsidRPr="007C6E89" w:rsidRDefault="007C6E89" w:rsidP="00502FC8">
      <w:pPr>
        <w:pStyle w:val="Prrafodelista"/>
        <w:numPr>
          <w:ilvl w:val="0"/>
          <w:numId w:val="4"/>
        </w:numPr>
        <w:ind w:left="0" w:firstLine="0"/>
        <w:contextualSpacing/>
        <w:jc w:val="both"/>
        <w:rPr>
          <w:rFonts w:ascii="Arial" w:hAnsi="Arial" w:cs="Arial"/>
          <w:sz w:val="22"/>
          <w:szCs w:val="22"/>
        </w:rPr>
      </w:pPr>
      <w:r w:rsidRPr="007C6E89">
        <w:rPr>
          <w:rFonts w:ascii="Arial" w:hAnsi="Arial" w:cs="Arial"/>
          <w:b/>
          <w:bCs/>
          <w:sz w:val="22"/>
          <w:szCs w:val="22"/>
        </w:rPr>
        <w:t>Porcentajes de reconocimiento.</w:t>
      </w:r>
      <w:r w:rsidRPr="007C6E89">
        <w:rPr>
          <w:rFonts w:ascii="Arial" w:hAnsi="Arial" w:cs="Arial"/>
          <w:sz w:val="22"/>
          <w:szCs w:val="22"/>
        </w:rPr>
        <w:t xml:space="preserve"> Se establece un porcentaje máximo de reconocimiento del ICR de la siguiente forma:</w:t>
      </w:r>
    </w:p>
    <w:p w14:paraId="2F20BE0D" w14:textId="77777777" w:rsidR="00735340" w:rsidRDefault="00735340" w:rsidP="00A75759">
      <w:pPr>
        <w:pStyle w:val="Prrafodelista"/>
        <w:rPr>
          <w:rFonts w:ascii="Arial" w:hAnsi="Arial" w:cs="Arial"/>
          <w:sz w:val="22"/>
          <w:szCs w:val="22"/>
        </w:rPr>
      </w:pPr>
    </w:p>
    <w:p w14:paraId="0E3C9F3B" w14:textId="77777777" w:rsidR="001E23CB" w:rsidRDefault="007C6E89" w:rsidP="00502FC8">
      <w:pPr>
        <w:pStyle w:val="Prrafodelista"/>
        <w:numPr>
          <w:ilvl w:val="0"/>
          <w:numId w:val="13"/>
        </w:numPr>
        <w:contextualSpacing/>
        <w:jc w:val="both"/>
        <w:rPr>
          <w:rFonts w:ascii="Arial" w:hAnsi="Arial" w:cs="Arial"/>
          <w:sz w:val="22"/>
          <w:szCs w:val="22"/>
        </w:rPr>
      </w:pPr>
      <w:r w:rsidRPr="001E23CB">
        <w:rPr>
          <w:rFonts w:ascii="Arial" w:hAnsi="Arial" w:cs="Arial"/>
          <w:sz w:val="22"/>
          <w:szCs w:val="22"/>
        </w:rPr>
        <w:t>Para pequeños productores de ingresos bajos, el porcentaje máximo de reconocimiento del ICR será del 40%.</w:t>
      </w:r>
    </w:p>
    <w:p w14:paraId="64B6B182" w14:textId="77777777" w:rsidR="00265B8D" w:rsidRDefault="00265B8D" w:rsidP="00265B8D">
      <w:pPr>
        <w:pStyle w:val="Prrafodelista"/>
        <w:ind w:left="720"/>
        <w:contextualSpacing/>
        <w:jc w:val="both"/>
        <w:rPr>
          <w:rFonts w:ascii="Arial" w:hAnsi="Arial" w:cs="Arial"/>
          <w:sz w:val="22"/>
          <w:szCs w:val="22"/>
        </w:rPr>
      </w:pPr>
    </w:p>
    <w:p w14:paraId="75E233A6" w14:textId="71A97D66" w:rsidR="007C6E89" w:rsidRDefault="007C6E89" w:rsidP="00502FC8">
      <w:pPr>
        <w:pStyle w:val="Prrafodelista"/>
        <w:numPr>
          <w:ilvl w:val="0"/>
          <w:numId w:val="13"/>
        </w:numPr>
        <w:contextualSpacing/>
        <w:jc w:val="both"/>
        <w:rPr>
          <w:rFonts w:ascii="Arial" w:hAnsi="Arial" w:cs="Arial"/>
          <w:sz w:val="22"/>
          <w:szCs w:val="22"/>
        </w:rPr>
      </w:pPr>
      <w:r w:rsidRPr="001E23CB">
        <w:rPr>
          <w:rFonts w:ascii="Arial" w:hAnsi="Arial" w:cs="Arial"/>
          <w:sz w:val="22"/>
          <w:szCs w:val="22"/>
        </w:rPr>
        <w:t>Para pequeños productores, el porcentaje máximo del reconocimiento del ICR será del 30%.</w:t>
      </w:r>
    </w:p>
    <w:p w14:paraId="1627C800" w14:textId="77777777" w:rsidR="00735340" w:rsidRDefault="00735340" w:rsidP="00A75759">
      <w:pPr>
        <w:pStyle w:val="Prrafodelista"/>
        <w:rPr>
          <w:rFonts w:ascii="Arial" w:hAnsi="Arial" w:cs="Arial"/>
          <w:sz w:val="22"/>
          <w:szCs w:val="22"/>
        </w:rPr>
      </w:pPr>
    </w:p>
    <w:p w14:paraId="3C369419" w14:textId="60E35ECA" w:rsidR="00903A7B" w:rsidRDefault="00903A7B" w:rsidP="00502FC8">
      <w:pPr>
        <w:pStyle w:val="Prrafodelista"/>
        <w:numPr>
          <w:ilvl w:val="0"/>
          <w:numId w:val="13"/>
        </w:numPr>
        <w:contextualSpacing/>
        <w:jc w:val="both"/>
        <w:rPr>
          <w:rFonts w:ascii="Arial" w:hAnsi="Arial" w:cs="Arial"/>
          <w:sz w:val="22"/>
          <w:szCs w:val="22"/>
        </w:rPr>
      </w:pPr>
      <w:r w:rsidRPr="001E23CB">
        <w:rPr>
          <w:rFonts w:ascii="Arial" w:hAnsi="Arial" w:cs="Arial"/>
          <w:sz w:val="22"/>
          <w:szCs w:val="22"/>
        </w:rPr>
        <w:t xml:space="preserve">Para </w:t>
      </w:r>
      <w:r>
        <w:rPr>
          <w:rFonts w:ascii="Arial" w:hAnsi="Arial" w:cs="Arial"/>
          <w:sz w:val="22"/>
          <w:szCs w:val="22"/>
        </w:rPr>
        <w:t>medianos</w:t>
      </w:r>
      <w:r w:rsidRPr="001E23CB">
        <w:rPr>
          <w:rFonts w:ascii="Arial" w:hAnsi="Arial" w:cs="Arial"/>
          <w:sz w:val="22"/>
          <w:szCs w:val="22"/>
        </w:rPr>
        <w:t xml:space="preserve"> productores, el porcentaje máximo del reconocimiento del ICR será del </w:t>
      </w:r>
      <w:r>
        <w:rPr>
          <w:rFonts w:ascii="Arial" w:hAnsi="Arial" w:cs="Arial"/>
          <w:sz w:val="22"/>
          <w:szCs w:val="22"/>
        </w:rPr>
        <w:t>25</w:t>
      </w:r>
      <w:r w:rsidRPr="001E23CB">
        <w:rPr>
          <w:rFonts w:ascii="Arial" w:hAnsi="Arial" w:cs="Arial"/>
          <w:sz w:val="22"/>
          <w:szCs w:val="22"/>
        </w:rPr>
        <w:t>%.</w:t>
      </w:r>
    </w:p>
    <w:p w14:paraId="0F306239" w14:textId="77777777" w:rsidR="00735340" w:rsidRDefault="00735340" w:rsidP="00A75759">
      <w:pPr>
        <w:pStyle w:val="Prrafodelista"/>
        <w:rPr>
          <w:rFonts w:ascii="Arial" w:hAnsi="Arial" w:cs="Arial"/>
          <w:sz w:val="22"/>
          <w:szCs w:val="22"/>
        </w:rPr>
      </w:pPr>
    </w:p>
    <w:p w14:paraId="332CEEEC" w14:textId="77777777" w:rsidR="007C6E89" w:rsidRDefault="007C6E89" w:rsidP="0045609F">
      <w:pPr>
        <w:contextualSpacing/>
        <w:jc w:val="both"/>
        <w:rPr>
          <w:rFonts w:ascii="Arial" w:hAnsi="Arial" w:cs="Arial"/>
          <w:sz w:val="22"/>
          <w:szCs w:val="22"/>
        </w:rPr>
      </w:pPr>
      <w:r w:rsidRPr="0045609F">
        <w:rPr>
          <w:rFonts w:ascii="Arial" w:hAnsi="Arial" w:cs="Arial"/>
          <w:sz w:val="22"/>
          <w:szCs w:val="22"/>
        </w:rPr>
        <w:t>El monto máximo de incentivo por beneficiario será de hasta OCHO MIL SETECIENTAS (8.700) Unidades de Valor Básico (UVB), excluyendo a los esquemas asociativos, asociativos simplificados y esquemas de integración. El MADR determinará el porcentaje de reconocimiento de ICR para cada tipo de productor y/o beneficiario especial sin superar el máximo establecido en el presente artículo.</w:t>
      </w:r>
    </w:p>
    <w:p w14:paraId="002E1AED" w14:textId="77777777" w:rsidR="003333EF" w:rsidRDefault="003333EF" w:rsidP="0045609F">
      <w:pPr>
        <w:contextualSpacing/>
        <w:jc w:val="both"/>
        <w:rPr>
          <w:rFonts w:ascii="Arial" w:hAnsi="Arial" w:cs="Arial"/>
          <w:sz w:val="22"/>
          <w:szCs w:val="22"/>
        </w:rPr>
      </w:pPr>
    </w:p>
    <w:p w14:paraId="5C5432FA" w14:textId="5AC920B1" w:rsidR="06457A15" w:rsidRDefault="06457A15" w:rsidP="06457A15">
      <w:pPr>
        <w:contextualSpacing/>
        <w:jc w:val="both"/>
        <w:rPr>
          <w:rFonts w:ascii="Arial" w:hAnsi="Arial" w:cs="Arial"/>
          <w:sz w:val="22"/>
          <w:szCs w:val="22"/>
        </w:rPr>
      </w:pPr>
    </w:p>
    <w:p w14:paraId="341D24FB" w14:textId="340630F2" w:rsidR="06457A15" w:rsidRDefault="06457A15" w:rsidP="06457A15">
      <w:pPr>
        <w:contextualSpacing/>
        <w:jc w:val="both"/>
        <w:rPr>
          <w:rFonts w:ascii="Arial" w:hAnsi="Arial" w:cs="Arial"/>
          <w:sz w:val="22"/>
          <w:szCs w:val="22"/>
        </w:rPr>
      </w:pPr>
    </w:p>
    <w:p w14:paraId="026A4595" w14:textId="491D5B22" w:rsidR="06457A15" w:rsidRDefault="06457A15" w:rsidP="06457A15">
      <w:pPr>
        <w:contextualSpacing/>
        <w:jc w:val="both"/>
        <w:rPr>
          <w:rFonts w:ascii="Arial" w:hAnsi="Arial" w:cs="Arial"/>
          <w:sz w:val="22"/>
          <w:szCs w:val="22"/>
        </w:rPr>
      </w:pPr>
    </w:p>
    <w:p w14:paraId="2B7FE775" w14:textId="77777777" w:rsidR="00F861FE" w:rsidRPr="00D6620C" w:rsidRDefault="00F861FE" w:rsidP="00F861FE">
      <w:pPr>
        <w:jc w:val="center"/>
        <w:rPr>
          <w:rFonts w:ascii="Arial" w:hAnsi="Arial" w:cs="Arial"/>
          <w:b/>
          <w:color w:val="000000" w:themeColor="text1"/>
          <w:sz w:val="22"/>
          <w:szCs w:val="22"/>
          <w:lang w:val="es-ES_tradnl"/>
        </w:rPr>
      </w:pPr>
      <w:r w:rsidRPr="00D6620C">
        <w:rPr>
          <w:rFonts w:ascii="Arial" w:hAnsi="Arial" w:cs="Arial"/>
          <w:b/>
          <w:color w:val="000000" w:themeColor="text1"/>
          <w:sz w:val="22"/>
          <w:szCs w:val="22"/>
          <w:lang w:val="es-ES_tradnl"/>
        </w:rPr>
        <w:lastRenderedPageBreak/>
        <w:t>CAPÍTULO TERCERO</w:t>
      </w:r>
    </w:p>
    <w:p w14:paraId="64DF2D6C" w14:textId="77777777" w:rsidR="00F861FE" w:rsidRPr="00D6620C" w:rsidRDefault="3C0B85EF" w:rsidP="00F861FE">
      <w:pPr>
        <w:jc w:val="center"/>
        <w:outlineLvl w:val="1"/>
        <w:rPr>
          <w:rFonts w:ascii="Arial" w:hAnsi="Arial" w:cs="Arial"/>
          <w:b/>
          <w:bCs/>
          <w:color w:val="000000" w:themeColor="text1"/>
          <w:sz w:val="22"/>
          <w:szCs w:val="22"/>
          <w:lang w:val="es-ES_tradnl"/>
        </w:rPr>
      </w:pPr>
      <w:r w:rsidRPr="16557DDB">
        <w:rPr>
          <w:rFonts w:ascii="Arial" w:hAnsi="Arial" w:cs="Arial"/>
          <w:b/>
          <w:bCs/>
          <w:color w:val="000000" w:themeColor="text1"/>
          <w:sz w:val="22"/>
          <w:szCs w:val="22"/>
        </w:rPr>
        <w:t>DE LAS LÍNEAS ESPECIALES DE CRÉDITO (LEC)</w:t>
      </w:r>
    </w:p>
    <w:p w14:paraId="58EFA950" w14:textId="187868E1" w:rsidR="16557DDB" w:rsidRDefault="16557DDB" w:rsidP="16557DDB">
      <w:pPr>
        <w:jc w:val="center"/>
        <w:outlineLvl w:val="1"/>
        <w:rPr>
          <w:rFonts w:ascii="Arial" w:hAnsi="Arial" w:cs="Arial"/>
          <w:b/>
          <w:bCs/>
          <w:color w:val="000000" w:themeColor="text1"/>
          <w:sz w:val="22"/>
          <w:szCs w:val="22"/>
        </w:rPr>
      </w:pPr>
    </w:p>
    <w:p w14:paraId="5100B1FF" w14:textId="77777777" w:rsidR="00762CEA" w:rsidRPr="00762CEA" w:rsidRDefault="00762CEA" w:rsidP="00502FC8">
      <w:pPr>
        <w:pStyle w:val="Prrafodelista"/>
        <w:numPr>
          <w:ilvl w:val="0"/>
          <w:numId w:val="4"/>
        </w:numPr>
        <w:ind w:left="0" w:firstLine="0"/>
        <w:contextualSpacing/>
        <w:jc w:val="both"/>
        <w:rPr>
          <w:rFonts w:ascii="Arial" w:hAnsi="Arial" w:cs="Arial"/>
          <w:sz w:val="22"/>
          <w:szCs w:val="22"/>
        </w:rPr>
      </w:pPr>
      <w:r w:rsidRPr="00762CEA">
        <w:rPr>
          <w:rFonts w:ascii="Arial" w:hAnsi="Arial" w:cs="Arial"/>
          <w:b/>
          <w:bCs/>
          <w:sz w:val="22"/>
          <w:szCs w:val="22"/>
        </w:rPr>
        <w:t>Distribución de los recursos de las LEC.</w:t>
      </w:r>
      <w:r w:rsidRPr="00762CEA">
        <w:rPr>
          <w:rFonts w:ascii="Arial" w:hAnsi="Arial" w:cs="Arial"/>
          <w:sz w:val="22"/>
          <w:szCs w:val="22"/>
        </w:rPr>
        <w:t xml:space="preserve"> En adición a lo previsto en la Resolución No. 3 de 2016 y aquellas que la modifiquen y/o deroguen, la distribución de los recursos dispuestos mediante contrato interadministrativo suscrito entre el MADR y FINAGRO para el otorgamiento de Líneas Especiales de Crédito se sujetará a las siguientes reglas:</w:t>
      </w:r>
    </w:p>
    <w:p w14:paraId="22B966EB" w14:textId="77777777" w:rsidR="00762CEA" w:rsidRPr="00762CEA" w:rsidRDefault="00762CEA" w:rsidP="007D667F">
      <w:pPr>
        <w:pStyle w:val="Prrafodelista"/>
        <w:ind w:left="720"/>
        <w:contextualSpacing/>
        <w:jc w:val="both"/>
        <w:rPr>
          <w:rFonts w:ascii="Arial" w:hAnsi="Arial" w:cs="Arial"/>
          <w:sz w:val="22"/>
          <w:szCs w:val="22"/>
        </w:rPr>
      </w:pPr>
      <w:r w:rsidRPr="00762CEA">
        <w:rPr>
          <w:rFonts w:ascii="Arial" w:hAnsi="Arial" w:cs="Arial"/>
          <w:sz w:val="22"/>
          <w:szCs w:val="22"/>
        </w:rPr>
        <w:t xml:space="preserve"> </w:t>
      </w:r>
    </w:p>
    <w:p w14:paraId="18A6C0AD" w14:textId="77777777" w:rsidR="00C434AA" w:rsidRDefault="00762CEA" w:rsidP="00502FC8">
      <w:pPr>
        <w:pStyle w:val="Prrafodelista"/>
        <w:numPr>
          <w:ilvl w:val="0"/>
          <w:numId w:val="14"/>
        </w:numPr>
        <w:contextualSpacing/>
        <w:jc w:val="both"/>
        <w:rPr>
          <w:rFonts w:ascii="Arial" w:hAnsi="Arial" w:cs="Arial"/>
          <w:sz w:val="22"/>
          <w:szCs w:val="22"/>
        </w:rPr>
      </w:pPr>
      <w:r w:rsidRPr="007D667F">
        <w:rPr>
          <w:rFonts w:ascii="Arial" w:hAnsi="Arial" w:cs="Arial"/>
          <w:sz w:val="22"/>
          <w:szCs w:val="22"/>
        </w:rPr>
        <w:t>El monto máximo de subsidio por beneficiario, independientemente del número de créditos, será de CINCO MIL (5.000) Unidades de Valor Básico (UVB).</w:t>
      </w:r>
    </w:p>
    <w:p w14:paraId="6C4BADC7" w14:textId="77777777" w:rsidR="00C434AA" w:rsidRDefault="00C434AA" w:rsidP="00C434AA">
      <w:pPr>
        <w:pStyle w:val="Prrafodelista"/>
        <w:ind w:left="720"/>
        <w:contextualSpacing/>
        <w:jc w:val="both"/>
        <w:rPr>
          <w:rFonts w:ascii="Arial" w:hAnsi="Arial" w:cs="Arial"/>
          <w:sz w:val="22"/>
          <w:szCs w:val="22"/>
        </w:rPr>
      </w:pPr>
    </w:p>
    <w:p w14:paraId="5A1021E3" w14:textId="4405414B" w:rsidR="00762CEA" w:rsidRPr="00C434AA" w:rsidRDefault="00762CEA" w:rsidP="00502FC8">
      <w:pPr>
        <w:pStyle w:val="Prrafodelista"/>
        <w:numPr>
          <w:ilvl w:val="0"/>
          <w:numId w:val="14"/>
        </w:numPr>
        <w:contextualSpacing/>
        <w:jc w:val="both"/>
        <w:rPr>
          <w:rFonts w:ascii="Arial" w:hAnsi="Arial" w:cs="Arial"/>
          <w:sz w:val="22"/>
          <w:szCs w:val="22"/>
        </w:rPr>
      </w:pPr>
      <w:r w:rsidRPr="00C434AA">
        <w:rPr>
          <w:rFonts w:ascii="Arial" w:hAnsi="Arial" w:cs="Arial"/>
          <w:sz w:val="22"/>
          <w:szCs w:val="22"/>
        </w:rPr>
        <w:t>Para mediano productor, los recursos de subsidio a la tasa de interés asignados por el MADR mediante contrato interadministrativo no podrán superar el 20% del total.</w:t>
      </w:r>
    </w:p>
    <w:p w14:paraId="4E34DD5A" w14:textId="77777777" w:rsidR="00735340" w:rsidRDefault="00735340" w:rsidP="003333EF">
      <w:pPr>
        <w:pStyle w:val="Prrafodelista"/>
        <w:rPr>
          <w:rFonts w:ascii="Arial" w:hAnsi="Arial" w:cs="Arial"/>
          <w:sz w:val="22"/>
          <w:szCs w:val="22"/>
        </w:rPr>
      </w:pPr>
    </w:p>
    <w:p w14:paraId="2DAFB5CB" w14:textId="1E344BA5" w:rsidR="00762CEA" w:rsidRPr="00610CEB" w:rsidRDefault="00762CEA" w:rsidP="00610CEB">
      <w:pPr>
        <w:contextualSpacing/>
        <w:jc w:val="both"/>
        <w:rPr>
          <w:rFonts w:ascii="Arial" w:hAnsi="Arial" w:cs="Arial"/>
          <w:sz w:val="22"/>
          <w:szCs w:val="22"/>
        </w:rPr>
      </w:pPr>
      <w:r w:rsidRPr="00610CEB">
        <w:rPr>
          <w:rFonts w:ascii="Arial" w:hAnsi="Arial" w:cs="Arial"/>
          <w:b/>
          <w:bCs/>
          <w:sz w:val="22"/>
          <w:szCs w:val="22"/>
        </w:rPr>
        <w:t>Parágrafo.</w:t>
      </w:r>
      <w:r w:rsidRPr="00610CEB">
        <w:rPr>
          <w:rFonts w:ascii="Arial" w:hAnsi="Arial" w:cs="Arial"/>
          <w:sz w:val="22"/>
          <w:szCs w:val="22"/>
        </w:rPr>
        <w:t xml:space="preserve"> El Comité Interadministrativo del contrato entre el MADR y FINAGRO revisará al menos una vez cada tres meses la ejecución de los recursos de las bolsas establecidas para cada LEC, con el fin de determinar la eventual necesidad de traslado de recursos.</w:t>
      </w:r>
    </w:p>
    <w:p w14:paraId="48DE0529" w14:textId="77777777" w:rsidR="00762CEA" w:rsidRPr="002971C5" w:rsidRDefault="00762CEA" w:rsidP="002971C5">
      <w:pPr>
        <w:contextualSpacing/>
        <w:jc w:val="both"/>
        <w:rPr>
          <w:rFonts w:ascii="Arial" w:hAnsi="Arial" w:cs="Arial"/>
          <w:sz w:val="22"/>
          <w:szCs w:val="22"/>
        </w:rPr>
      </w:pPr>
    </w:p>
    <w:p w14:paraId="0878DCA0" w14:textId="15CC06D5" w:rsidR="00762CEA" w:rsidRDefault="00762CEA" w:rsidP="00502FC8">
      <w:pPr>
        <w:pStyle w:val="Prrafodelista"/>
        <w:numPr>
          <w:ilvl w:val="0"/>
          <w:numId w:val="4"/>
        </w:numPr>
        <w:ind w:left="0" w:firstLine="0"/>
        <w:contextualSpacing/>
        <w:jc w:val="both"/>
        <w:rPr>
          <w:rFonts w:ascii="Arial" w:hAnsi="Arial" w:cs="Arial"/>
          <w:sz w:val="22"/>
          <w:szCs w:val="22"/>
        </w:rPr>
      </w:pPr>
      <w:r w:rsidRPr="002971C5">
        <w:rPr>
          <w:rFonts w:ascii="Arial" w:hAnsi="Arial" w:cs="Arial"/>
          <w:b/>
          <w:bCs/>
          <w:sz w:val="22"/>
          <w:szCs w:val="22"/>
        </w:rPr>
        <w:t>Estructura.</w:t>
      </w:r>
      <w:r w:rsidRPr="00762CEA">
        <w:rPr>
          <w:rFonts w:ascii="Arial" w:hAnsi="Arial" w:cs="Arial"/>
          <w:sz w:val="22"/>
          <w:szCs w:val="22"/>
        </w:rPr>
        <w:t xml:space="preserve"> Los recursos dispuestos mediante contrato interadministrativo suscrito entre el MADR y FINAGRO, para el otorgamiento del subsidio de tasa se distribuirán en las siguientes Líneas Especiales de Crédito (LEC):</w:t>
      </w:r>
    </w:p>
    <w:p w14:paraId="253FD71C" w14:textId="77777777" w:rsidR="00E05020" w:rsidRPr="00DC60F9" w:rsidRDefault="00E05020" w:rsidP="00E05020">
      <w:pPr>
        <w:pStyle w:val="Prrafodelista"/>
        <w:contextualSpacing/>
        <w:jc w:val="both"/>
        <w:rPr>
          <w:rFonts w:ascii="Arial" w:hAnsi="Arial" w:cs="Arial"/>
          <w:sz w:val="22"/>
          <w:szCs w:val="22"/>
        </w:rPr>
      </w:pPr>
    </w:p>
    <w:p w14:paraId="1D2C13E8" w14:textId="595A619D" w:rsidR="00E05020" w:rsidRPr="00DC60F9" w:rsidRDefault="00E05020" w:rsidP="00A75759">
      <w:pPr>
        <w:pStyle w:val="Prrafodelista"/>
        <w:numPr>
          <w:ilvl w:val="0"/>
          <w:numId w:val="2"/>
        </w:numPr>
        <w:contextualSpacing/>
        <w:jc w:val="both"/>
        <w:rPr>
          <w:rFonts w:ascii="Arial" w:hAnsi="Arial" w:cs="Arial"/>
          <w:sz w:val="22"/>
          <w:szCs w:val="22"/>
        </w:rPr>
      </w:pPr>
      <w:r w:rsidRPr="574577BE">
        <w:rPr>
          <w:rFonts w:ascii="Arial" w:hAnsi="Arial" w:cs="Arial"/>
          <w:sz w:val="22"/>
          <w:szCs w:val="22"/>
        </w:rPr>
        <w:t>Líneas de Paz Total y Justicia Social</w:t>
      </w:r>
      <w:r w:rsidR="05A8877A" w:rsidRPr="574577BE">
        <w:rPr>
          <w:rFonts w:ascii="Arial" w:hAnsi="Arial" w:cs="Arial"/>
          <w:sz w:val="22"/>
          <w:szCs w:val="22"/>
        </w:rPr>
        <w:t>:</w:t>
      </w:r>
    </w:p>
    <w:p w14:paraId="3F0470BD" w14:textId="77777777" w:rsidR="00E05020" w:rsidRDefault="00E05020" w:rsidP="00E05020">
      <w:pPr>
        <w:contextualSpacing/>
        <w:jc w:val="both"/>
        <w:rPr>
          <w:rFonts w:ascii="Arial" w:hAnsi="Arial" w:cs="Arial"/>
          <w:sz w:val="22"/>
          <w:szCs w:val="22"/>
        </w:rPr>
      </w:pPr>
    </w:p>
    <w:p w14:paraId="2865EB1D" w14:textId="77777777" w:rsidR="00E05020" w:rsidRDefault="00E05020" w:rsidP="06457A15">
      <w:pPr>
        <w:pStyle w:val="Prrafodelista"/>
        <w:numPr>
          <w:ilvl w:val="0"/>
          <w:numId w:val="17"/>
        </w:numPr>
        <w:ind w:left="810" w:hanging="90"/>
        <w:contextualSpacing/>
        <w:jc w:val="both"/>
        <w:rPr>
          <w:rFonts w:ascii="Arial" w:hAnsi="Arial" w:cs="Arial"/>
          <w:sz w:val="22"/>
          <w:szCs w:val="22"/>
        </w:rPr>
      </w:pPr>
      <w:r w:rsidRPr="06457A15">
        <w:rPr>
          <w:rFonts w:ascii="Arial" w:hAnsi="Arial" w:cs="Arial"/>
          <w:sz w:val="22"/>
          <w:szCs w:val="22"/>
        </w:rPr>
        <w:t>LEC Desarrollo Productivo.</w:t>
      </w:r>
    </w:p>
    <w:p w14:paraId="68F972F3" w14:textId="77777777" w:rsidR="00E05020" w:rsidRDefault="00E05020" w:rsidP="06457A15">
      <w:pPr>
        <w:pStyle w:val="Prrafodelista"/>
        <w:numPr>
          <w:ilvl w:val="0"/>
          <w:numId w:val="17"/>
        </w:numPr>
        <w:ind w:left="1440" w:hanging="720"/>
        <w:contextualSpacing/>
        <w:jc w:val="both"/>
        <w:rPr>
          <w:rFonts w:ascii="Arial" w:hAnsi="Arial" w:cs="Arial"/>
          <w:sz w:val="22"/>
          <w:szCs w:val="22"/>
        </w:rPr>
      </w:pPr>
      <w:r w:rsidRPr="06457A15">
        <w:rPr>
          <w:rFonts w:ascii="Arial" w:hAnsi="Arial" w:cs="Arial"/>
          <w:sz w:val="22"/>
          <w:szCs w:val="22"/>
        </w:rPr>
        <w:t>LEC Reactivación Agropecuaria.</w:t>
      </w:r>
    </w:p>
    <w:p w14:paraId="44BBD60E" w14:textId="0FC95C82" w:rsidR="00E05020" w:rsidRPr="00191C88" w:rsidRDefault="5B6DB77B" w:rsidP="06457A15">
      <w:pPr>
        <w:pStyle w:val="Prrafodelista"/>
        <w:numPr>
          <w:ilvl w:val="0"/>
          <w:numId w:val="17"/>
        </w:numPr>
        <w:ind w:left="1350" w:hanging="630"/>
        <w:contextualSpacing/>
        <w:jc w:val="both"/>
        <w:rPr>
          <w:rFonts w:ascii="Arial" w:hAnsi="Arial" w:cs="Arial"/>
          <w:sz w:val="22"/>
          <w:szCs w:val="22"/>
        </w:rPr>
      </w:pPr>
      <w:r w:rsidRPr="06457A15">
        <w:rPr>
          <w:rFonts w:ascii="Arial" w:hAnsi="Arial" w:cs="Arial"/>
          <w:sz w:val="22"/>
          <w:szCs w:val="22"/>
        </w:rPr>
        <w:t xml:space="preserve"> </w:t>
      </w:r>
      <w:r w:rsidR="00E05020" w:rsidRPr="06457A15">
        <w:rPr>
          <w:rFonts w:ascii="Arial" w:hAnsi="Arial" w:cs="Arial"/>
          <w:sz w:val="22"/>
          <w:szCs w:val="22"/>
        </w:rPr>
        <w:t xml:space="preserve">LEC Reforma Agraria. </w:t>
      </w:r>
    </w:p>
    <w:p w14:paraId="750FA1A3" w14:textId="77777777" w:rsidR="00E05020" w:rsidRDefault="00E05020" w:rsidP="00E05020">
      <w:pPr>
        <w:pStyle w:val="Prrafodelista"/>
        <w:ind w:left="1080"/>
        <w:contextualSpacing/>
        <w:jc w:val="both"/>
        <w:rPr>
          <w:rFonts w:ascii="Arial" w:hAnsi="Arial" w:cs="Arial"/>
          <w:sz w:val="22"/>
          <w:szCs w:val="22"/>
        </w:rPr>
      </w:pPr>
    </w:p>
    <w:p w14:paraId="1D41BED3" w14:textId="77777777" w:rsidR="00E05020" w:rsidRDefault="00E05020" w:rsidP="00E05020">
      <w:pPr>
        <w:pStyle w:val="Prrafodelista"/>
        <w:ind w:left="0"/>
        <w:contextualSpacing/>
        <w:jc w:val="both"/>
        <w:rPr>
          <w:rFonts w:ascii="Arial" w:hAnsi="Arial" w:cs="Arial"/>
          <w:sz w:val="22"/>
          <w:szCs w:val="22"/>
        </w:rPr>
      </w:pPr>
      <w:r w:rsidRPr="009337A0">
        <w:rPr>
          <w:rFonts w:ascii="Arial" w:hAnsi="Arial" w:cs="Arial"/>
          <w:b/>
          <w:bCs/>
          <w:sz w:val="22"/>
          <w:szCs w:val="22"/>
        </w:rPr>
        <w:t>Parágrafo.</w:t>
      </w:r>
      <w:r w:rsidRPr="00DC60F9">
        <w:rPr>
          <w:rFonts w:ascii="Arial" w:hAnsi="Arial" w:cs="Arial"/>
          <w:sz w:val="22"/>
          <w:szCs w:val="22"/>
        </w:rPr>
        <w:t xml:space="preserve"> Para todas las Líneas Especiales de Crédito, el plazo de otorgamiento del subsidio no podrá ser superior al plazo del crédito.</w:t>
      </w:r>
    </w:p>
    <w:p w14:paraId="62DCDA33" w14:textId="77777777" w:rsidR="00166B68" w:rsidRDefault="00166B68" w:rsidP="00E05020">
      <w:pPr>
        <w:pStyle w:val="Prrafodelista"/>
        <w:ind w:left="0"/>
        <w:contextualSpacing/>
        <w:jc w:val="both"/>
        <w:rPr>
          <w:rFonts w:ascii="Arial" w:hAnsi="Arial" w:cs="Arial"/>
          <w:sz w:val="22"/>
          <w:szCs w:val="22"/>
        </w:rPr>
      </w:pPr>
    </w:p>
    <w:p w14:paraId="50A46C4F" w14:textId="77777777" w:rsidR="00166B68" w:rsidRPr="00D6620C" w:rsidRDefault="00166B68" w:rsidP="00166B68">
      <w:pPr>
        <w:jc w:val="center"/>
        <w:outlineLvl w:val="1"/>
        <w:rPr>
          <w:rFonts w:ascii="Arial" w:hAnsi="Arial" w:cs="Arial"/>
          <w:b/>
          <w:bCs/>
          <w:color w:val="000000" w:themeColor="text1"/>
          <w:sz w:val="22"/>
          <w:szCs w:val="22"/>
        </w:rPr>
      </w:pPr>
      <w:r w:rsidRPr="6CBA83CA">
        <w:rPr>
          <w:rFonts w:ascii="Arial" w:hAnsi="Arial" w:cs="Arial"/>
          <w:b/>
          <w:bCs/>
          <w:color w:val="000000" w:themeColor="text1"/>
          <w:sz w:val="22"/>
          <w:szCs w:val="22"/>
        </w:rPr>
        <w:t xml:space="preserve">TÍTULO </w:t>
      </w:r>
      <w:r>
        <w:rPr>
          <w:rFonts w:ascii="Arial" w:hAnsi="Arial" w:cs="Arial"/>
          <w:b/>
          <w:bCs/>
          <w:color w:val="000000" w:themeColor="text1"/>
          <w:sz w:val="22"/>
          <w:szCs w:val="22"/>
        </w:rPr>
        <w:t>PRIMERO</w:t>
      </w:r>
    </w:p>
    <w:p w14:paraId="4EDBECFD" w14:textId="77777777" w:rsidR="00166B68" w:rsidRPr="00D6620C" w:rsidRDefault="00166B68" w:rsidP="00166B68">
      <w:pPr>
        <w:jc w:val="center"/>
        <w:outlineLvl w:val="1"/>
        <w:rPr>
          <w:rFonts w:ascii="Arial" w:hAnsi="Arial" w:cs="Arial"/>
          <w:b/>
          <w:bCs/>
          <w:color w:val="000000" w:themeColor="text1"/>
          <w:sz w:val="22"/>
          <w:szCs w:val="22"/>
        </w:rPr>
      </w:pPr>
      <w:r w:rsidRPr="6CBA83CA">
        <w:rPr>
          <w:rFonts w:ascii="Arial" w:hAnsi="Arial" w:cs="Arial"/>
          <w:b/>
          <w:bCs/>
          <w:color w:val="000000" w:themeColor="text1"/>
          <w:sz w:val="22"/>
          <w:szCs w:val="22"/>
        </w:rPr>
        <w:t>LÍNEAS DE PAZ TOTAL Y JUSTICIA SOCIAL</w:t>
      </w:r>
    </w:p>
    <w:p w14:paraId="49CB3266" w14:textId="77777777" w:rsidR="00E05020" w:rsidRDefault="00E05020" w:rsidP="00E05020">
      <w:pPr>
        <w:pStyle w:val="Prrafodelista"/>
        <w:ind w:left="0"/>
        <w:contextualSpacing/>
        <w:jc w:val="both"/>
        <w:rPr>
          <w:rFonts w:ascii="Arial" w:hAnsi="Arial" w:cs="Arial"/>
          <w:sz w:val="22"/>
          <w:szCs w:val="22"/>
        </w:rPr>
      </w:pPr>
    </w:p>
    <w:p w14:paraId="20A4EAE6" w14:textId="1674C514" w:rsidR="00867981" w:rsidRDefault="00867981" w:rsidP="00502FC8">
      <w:pPr>
        <w:pStyle w:val="Prrafodelista"/>
        <w:numPr>
          <w:ilvl w:val="0"/>
          <w:numId w:val="4"/>
        </w:numPr>
        <w:ind w:left="0" w:firstLine="0"/>
        <w:contextualSpacing/>
        <w:jc w:val="both"/>
        <w:rPr>
          <w:rFonts w:ascii="Arial" w:hAnsi="Arial" w:cs="Arial"/>
          <w:sz w:val="22"/>
          <w:szCs w:val="22"/>
        </w:rPr>
      </w:pPr>
      <w:r w:rsidRPr="008938F9">
        <w:rPr>
          <w:rFonts w:ascii="Arial" w:hAnsi="Arial" w:cs="Arial"/>
          <w:b/>
          <w:bCs/>
          <w:sz w:val="22"/>
          <w:szCs w:val="22"/>
        </w:rPr>
        <w:t>LEC Desarrollo Productivo:</w:t>
      </w:r>
      <w:r w:rsidRPr="008938F9">
        <w:rPr>
          <w:rFonts w:ascii="Arial" w:hAnsi="Arial" w:cs="Arial"/>
          <w:sz w:val="22"/>
          <w:szCs w:val="22"/>
        </w:rPr>
        <w:t xml:space="preserve"> se financia</w:t>
      </w:r>
      <w:r w:rsidR="008938F9" w:rsidRPr="008938F9">
        <w:rPr>
          <w:rFonts w:ascii="Arial" w:hAnsi="Arial" w:cs="Arial"/>
          <w:sz w:val="22"/>
          <w:szCs w:val="22"/>
        </w:rPr>
        <w:t xml:space="preserve"> el capital de trabajo </w:t>
      </w:r>
      <w:r w:rsidRPr="008938F9">
        <w:rPr>
          <w:rFonts w:ascii="Arial" w:hAnsi="Arial" w:cs="Arial"/>
          <w:sz w:val="22"/>
          <w:szCs w:val="22"/>
        </w:rPr>
        <w:t xml:space="preserve">para el aprovechamiento racional y sostenible del patrimonio natural para una producción agropecuaria competitiva, sostenible y amigable con el medio ambiente. </w:t>
      </w:r>
    </w:p>
    <w:p w14:paraId="68F148ED" w14:textId="77777777" w:rsidR="0008516B" w:rsidRPr="008938F9" w:rsidRDefault="0008516B" w:rsidP="0008516B">
      <w:pPr>
        <w:pStyle w:val="Prrafodelista"/>
        <w:ind w:left="0"/>
        <w:contextualSpacing/>
        <w:jc w:val="both"/>
        <w:rPr>
          <w:rFonts w:ascii="Arial" w:hAnsi="Arial" w:cs="Arial"/>
          <w:sz w:val="22"/>
          <w:szCs w:val="22"/>
        </w:rPr>
      </w:pPr>
    </w:p>
    <w:p w14:paraId="749C7465" w14:textId="00148CA7" w:rsidR="00867981" w:rsidRPr="00723D60" w:rsidRDefault="00867981" w:rsidP="00A75759">
      <w:pPr>
        <w:pStyle w:val="Prrafodelista"/>
        <w:numPr>
          <w:ilvl w:val="0"/>
          <w:numId w:val="1"/>
        </w:numPr>
        <w:contextualSpacing/>
        <w:jc w:val="both"/>
        <w:rPr>
          <w:rFonts w:ascii="Arial" w:hAnsi="Arial" w:cs="Arial"/>
          <w:b/>
          <w:bCs/>
          <w:sz w:val="22"/>
          <w:szCs w:val="22"/>
        </w:rPr>
      </w:pPr>
      <w:r w:rsidRPr="4FB0F017">
        <w:rPr>
          <w:rFonts w:ascii="Arial" w:hAnsi="Arial" w:cs="Arial"/>
          <w:b/>
          <w:bCs/>
          <w:sz w:val="22"/>
          <w:szCs w:val="22"/>
        </w:rPr>
        <w:t xml:space="preserve">Actividades Financiables: </w:t>
      </w:r>
    </w:p>
    <w:p w14:paraId="312A2E78" w14:textId="77777777" w:rsidR="00867981" w:rsidRPr="00867981" w:rsidRDefault="00867981" w:rsidP="00723D60">
      <w:pPr>
        <w:pStyle w:val="Prrafodelista"/>
        <w:ind w:left="720"/>
        <w:contextualSpacing/>
        <w:jc w:val="both"/>
        <w:rPr>
          <w:rFonts w:ascii="Arial" w:hAnsi="Arial" w:cs="Arial"/>
          <w:sz w:val="22"/>
          <w:szCs w:val="22"/>
        </w:rPr>
      </w:pPr>
    </w:p>
    <w:p w14:paraId="4379278B" w14:textId="77777777" w:rsidR="003046D6" w:rsidRDefault="00867981" w:rsidP="00502FC8">
      <w:pPr>
        <w:pStyle w:val="Prrafodelista"/>
        <w:numPr>
          <w:ilvl w:val="0"/>
          <w:numId w:val="20"/>
        </w:numPr>
        <w:ind w:left="1276"/>
        <w:contextualSpacing/>
        <w:jc w:val="both"/>
        <w:rPr>
          <w:rFonts w:ascii="Arial" w:hAnsi="Arial" w:cs="Arial"/>
          <w:sz w:val="22"/>
          <w:szCs w:val="22"/>
        </w:rPr>
      </w:pPr>
      <w:r w:rsidRPr="00867981">
        <w:rPr>
          <w:rFonts w:ascii="Arial" w:hAnsi="Arial" w:cs="Arial"/>
          <w:sz w:val="22"/>
          <w:szCs w:val="22"/>
        </w:rPr>
        <w:t>Siembra y sostenimiento de cultivos de ciclo corto.</w:t>
      </w:r>
    </w:p>
    <w:p w14:paraId="0BF36C65" w14:textId="77777777" w:rsidR="003046D6" w:rsidRDefault="00867981" w:rsidP="00502FC8">
      <w:pPr>
        <w:pStyle w:val="Prrafodelista"/>
        <w:numPr>
          <w:ilvl w:val="0"/>
          <w:numId w:val="20"/>
        </w:numPr>
        <w:ind w:left="1276"/>
        <w:contextualSpacing/>
        <w:jc w:val="both"/>
        <w:rPr>
          <w:rFonts w:ascii="Arial" w:hAnsi="Arial" w:cs="Arial"/>
          <w:sz w:val="22"/>
          <w:szCs w:val="22"/>
        </w:rPr>
      </w:pPr>
      <w:r w:rsidRPr="003046D6">
        <w:rPr>
          <w:rFonts w:ascii="Arial" w:hAnsi="Arial" w:cs="Arial"/>
          <w:sz w:val="22"/>
          <w:szCs w:val="22"/>
        </w:rPr>
        <w:t>Sostenimiento de cultivos perennes y forestales.</w:t>
      </w:r>
    </w:p>
    <w:p w14:paraId="7F496E06" w14:textId="77777777" w:rsidR="00E60188" w:rsidRDefault="00867981" w:rsidP="00502FC8">
      <w:pPr>
        <w:pStyle w:val="Prrafodelista"/>
        <w:numPr>
          <w:ilvl w:val="0"/>
          <w:numId w:val="20"/>
        </w:numPr>
        <w:ind w:left="1276"/>
        <w:contextualSpacing/>
        <w:jc w:val="both"/>
        <w:rPr>
          <w:rFonts w:ascii="Arial" w:hAnsi="Arial" w:cs="Arial"/>
          <w:sz w:val="22"/>
          <w:szCs w:val="22"/>
        </w:rPr>
      </w:pPr>
      <w:r w:rsidRPr="003046D6">
        <w:rPr>
          <w:rFonts w:ascii="Arial" w:hAnsi="Arial" w:cs="Arial"/>
          <w:sz w:val="22"/>
          <w:szCs w:val="22"/>
        </w:rPr>
        <w:t>Sostenimiento pecuario, acuícola, pesca, zoocría y apícola.</w:t>
      </w:r>
    </w:p>
    <w:p w14:paraId="24DD5B87" w14:textId="77777777" w:rsidR="00AC4F54" w:rsidRDefault="00867981" w:rsidP="00502FC8">
      <w:pPr>
        <w:pStyle w:val="Prrafodelista"/>
        <w:numPr>
          <w:ilvl w:val="0"/>
          <w:numId w:val="20"/>
        </w:numPr>
        <w:ind w:left="1276"/>
        <w:contextualSpacing/>
        <w:jc w:val="both"/>
        <w:rPr>
          <w:rFonts w:ascii="Arial" w:hAnsi="Arial" w:cs="Arial"/>
          <w:sz w:val="22"/>
          <w:szCs w:val="22"/>
        </w:rPr>
      </w:pPr>
      <w:r w:rsidRPr="00E60188">
        <w:rPr>
          <w:rFonts w:ascii="Arial" w:hAnsi="Arial" w:cs="Arial"/>
          <w:sz w:val="22"/>
          <w:szCs w:val="22"/>
        </w:rPr>
        <w:t xml:space="preserve">Capital de trabajo para procesos de comercialización y transformación de la producción agropecuaria realizada directamente por los productores o por los esquemas asociativos o de integración definidos en los literales </w:t>
      </w:r>
      <w:r w:rsidR="00126AE8">
        <w:rPr>
          <w:rFonts w:ascii="Arial" w:hAnsi="Arial" w:cs="Arial"/>
          <w:sz w:val="22"/>
          <w:szCs w:val="22"/>
        </w:rPr>
        <w:t xml:space="preserve">h, i, y j </w:t>
      </w:r>
      <w:r w:rsidRPr="00E60188">
        <w:rPr>
          <w:rFonts w:ascii="Arial" w:hAnsi="Arial" w:cs="Arial"/>
          <w:sz w:val="22"/>
          <w:szCs w:val="22"/>
        </w:rPr>
        <w:t>del Artículo 1 de la presente Resolución.</w:t>
      </w:r>
    </w:p>
    <w:p w14:paraId="0D46F676" w14:textId="77777777" w:rsidR="0035328F" w:rsidRDefault="00867981" w:rsidP="00502FC8">
      <w:pPr>
        <w:pStyle w:val="Prrafodelista"/>
        <w:numPr>
          <w:ilvl w:val="0"/>
          <w:numId w:val="20"/>
        </w:numPr>
        <w:ind w:left="1276"/>
        <w:contextualSpacing/>
        <w:jc w:val="both"/>
        <w:rPr>
          <w:rFonts w:ascii="Arial" w:hAnsi="Arial" w:cs="Arial"/>
          <w:sz w:val="22"/>
          <w:szCs w:val="22"/>
        </w:rPr>
      </w:pPr>
      <w:r w:rsidRPr="00AC4F54">
        <w:rPr>
          <w:rFonts w:ascii="Arial" w:hAnsi="Arial" w:cs="Arial"/>
          <w:sz w:val="22"/>
          <w:szCs w:val="22"/>
        </w:rPr>
        <w:t>Capital de trabajo para el desarrollo de actividades que garanticen la bioseguridad y control de enfermedades de los predios.</w:t>
      </w:r>
    </w:p>
    <w:p w14:paraId="04370D1E" w14:textId="20703FA9" w:rsidR="00867981" w:rsidRDefault="00867981" w:rsidP="00502FC8">
      <w:pPr>
        <w:pStyle w:val="Prrafodelista"/>
        <w:numPr>
          <w:ilvl w:val="0"/>
          <w:numId w:val="20"/>
        </w:numPr>
        <w:ind w:left="1276"/>
        <w:contextualSpacing/>
        <w:jc w:val="both"/>
        <w:rPr>
          <w:rFonts w:ascii="Arial" w:hAnsi="Arial" w:cs="Arial"/>
          <w:sz w:val="22"/>
          <w:szCs w:val="22"/>
        </w:rPr>
      </w:pPr>
      <w:r w:rsidRPr="0035328F">
        <w:rPr>
          <w:rFonts w:ascii="Arial" w:hAnsi="Arial" w:cs="Arial"/>
          <w:sz w:val="22"/>
          <w:szCs w:val="22"/>
        </w:rPr>
        <w:t>Compra de pie de cría en proyectos pecuarios</w:t>
      </w:r>
    </w:p>
    <w:p w14:paraId="6B27CAF0" w14:textId="77777777" w:rsidR="00662FE1" w:rsidRPr="0035328F" w:rsidRDefault="00662FE1" w:rsidP="00662FE1">
      <w:pPr>
        <w:pStyle w:val="Prrafodelista"/>
        <w:ind w:left="720"/>
        <w:contextualSpacing/>
        <w:jc w:val="both"/>
        <w:rPr>
          <w:rFonts w:ascii="Arial" w:hAnsi="Arial" w:cs="Arial"/>
          <w:sz w:val="22"/>
          <w:szCs w:val="22"/>
        </w:rPr>
      </w:pPr>
    </w:p>
    <w:p w14:paraId="37573751" w14:textId="755E00E2" w:rsidR="00867981" w:rsidRPr="00B601F2" w:rsidRDefault="05F8BC91" w:rsidP="003333EF">
      <w:pPr>
        <w:contextualSpacing/>
        <w:jc w:val="both"/>
        <w:rPr>
          <w:rFonts w:ascii="Arial" w:hAnsi="Arial" w:cs="Arial"/>
          <w:sz w:val="22"/>
          <w:szCs w:val="22"/>
        </w:rPr>
      </w:pPr>
      <w:r w:rsidRPr="4FB0F017">
        <w:rPr>
          <w:rFonts w:ascii="Arial" w:hAnsi="Arial" w:cs="Arial"/>
          <w:b/>
          <w:bCs/>
          <w:sz w:val="22"/>
          <w:szCs w:val="22"/>
        </w:rPr>
        <w:t>2</w:t>
      </w:r>
      <w:r w:rsidR="3BC94E85" w:rsidRPr="4FB0F017">
        <w:rPr>
          <w:rFonts w:ascii="Arial" w:hAnsi="Arial" w:cs="Arial"/>
          <w:b/>
          <w:bCs/>
          <w:sz w:val="22"/>
          <w:szCs w:val="22"/>
        </w:rPr>
        <w:t xml:space="preserve">. </w:t>
      </w:r>
      <w:r w:rsidR="00867981" w:rsidRPr="4FB0F017">
        <w:rPr>
          <w:rFonts w:ascii="Arial" w:hAnsi="Arial" w:cs="Arial"/>
          <w:b/>
          <w:bCs/>
          <w:sz w:val="22"/>
          <w:szCs w:val="22"/>
        </w:rPr>
        <w:t>Periodo de reconocimiento del subsidio.</w:t>
      </w:r>
      <w:r w:rsidR="00867981" w:rsidRPr="4FB0F017">
        <w:rPr>
          <w:rFonts w:ascii="Arial" w:hAnsi="Arial" w:cs="Arial"/>
          <w:sz w:val="22"/>
          <w:szCs w:val="22"/>
        </w:rPr>
        <w:t xml:space="preserve"> El plazo máximo de otorgamiento del subsidio será de hasta de </w:t>
      </w:r>
      <w:r w:rsidR="00B47F7C" w:rsidRPr="4FB0F017">
        <w:rPr>
          <w:rFonts w:ascii="Arial" w:hAnsi="Arial" w:cs="Arial"/>
          <w:sz w:val="22"/>
          <w:szCs w:val="22"/>
        </w:rPr>
        <w:t>cinco</w:t>
      </w:r>
      <w:r w:rsidR="00867981" w:rsidRPr="4FB0F017">
        <w:rPr>
          <w:rFonts w:ascii="Arial" w:hAnsi="Arial" w:cs="Arial"/>
          <w:sz w:val="22"/>
          <w:szCs w:val="22"/>
        </w:rPr>
        <w:t xml:space="preserve"> (</w:t>
      </w:r>
      <w:r w:rsidR="00B47F7C" w:rsidRPr="4FB0F017">
        <w:rPr>
          <w:rFonts w:ascii="Arial" w:hAnsi="Arial" w:cs="Arial"/>
          <w:sz w:val="22"/>
          <w:szCs w:val="22"/>
        </w:rPr>
        <w:t>5</w:t>
      </w:r>
      <w:r w:rsidR="00867981" w:rsidRPr="4FB0F017">
        <w:rPr>
          <w:rFonts w:ascii="Arial" w:hAnsi="Arial" w:cs="Arial"/>
          <w:sz w:val="22"/>
          <w:szCs w:val="22"/>
        </w:rPr>
        <w:t>) años</w:t>
      </w:r>
      <w:r w:rsidR="00DF40CD" w:rsidRPr="4FB0F017">
        <w:rPr>
          <w:rFonts w:ascii="Arial" w:hAnsi="Arial" w:cs="Arial"/>
          <w:sz w:val="22"/>
          <w:szCs w:val="22"/>
        </w:rPr>
        <w:t>.</w:t>
      </w:r>
      <w:r w:rsidR="00867981" w:rsidRPr="4FB0F017">
        <w:rPr>
          <w:rFonts w:ascii="Arial" w:hAnsi="Arial" w:cs="Arial"/>
          <w:sz w:val="22"/>
          <w:szCs w:val="22"/>
        </w:rPr>
        <w:t xml:space="preserve"> </w:t>
      </w:r>
    </w:p>
    <w:p w14:paraId="27F1DF3E" w14:textId="77777777" w:rsidR="00867981" w:rsidRPr="00867981" w:rsidRDefault="00867981" w:rsidP="000F2083">
      <w:pPr>
        <w:pStyle w:val="Prrafodelista"/>
        <w:ind w:left="720"/>
        <w:contextualSpacing/>
        <w:jc w:val="both"/>
        <w:rPr>
          <w:rFonts w:ascii="Arial" w:hAnsi="Arial" w:cs="Arial"/>
          <w:sz w:val="22"/>
          <w:szCs w:val="22"/>
        </w:rPr>
      </w:pPr>
    </w:p>
    <w:p w14:paraId="050E0593" w14:textId="73274378" w:rsidR="00867981" w:rsidRDefault="144E014F" w:rsidP="003333EF">
      <w:pPr>
        <w:contextualSpacing/>
        <w:jc w:val="both"/>
        <w:rPr>
          <w:rFonts w:ascii="Arial" w:hAnsi="Arial" w:cs="Arial"/>
          <w:sz w:val="22"/>
          <w:szCs w:val="22"/>
        </w:rPr>
      </w:pPr>
      <w:r w:rsidRPr="4FB0F017">
        <w:rPr>
          <w:rFonts w:ascii="Arial" w:hAnsi="Arial" w:cs="Arial"/>
          <w:b/>
          <w:bCs/>
          <w:sz w:val="22"/>
          <w:szCs w:val="22"/>
        </w:rPr>
        <w:t>3</w:t>
      </w:r>
      <w:r w:rsidR="73E507F8" w:rsidRPr="4FB0F017">
        <w:rPr>
          <w:rFonts w:ascii="Arial" w:hAnsi="Arial" w:cs="Arial"/>
          <w:b/>
          <w:bCs/>
          <w:sz w:val="22"/>
          <w:szCs w:val="22"/>
        </w:rPr>
        <w:t xml:space="preserve">. </w:t>
      </w:r>
      <w:r w:rsidR="00867981" w:rsidRPr="4FB0F017">
        <w:rPr>
          <w:rFonts w:ascii="Arial" w:hAnsi="Arial" w:cs="Arial"/>
          <w:b/>
          <w:bCs/>
          <w:sz w:val="22"/>
          <w:szCs w:val="22"/>
        </w:rPr>
        <w:t>Tasa de Redescuento y de Interés al Beneficiario.</w:t>
      </w:r>
      <w:r w:rsidR="00867981" w:rsidRPr="4FB0F017">
        <w:rPr>
          <w:rFonts w:ascii="Arial" w:hAnsi="Arial" w:cs="Arial"/>
          <w:sz w:val="22"/>
          <w:szCs w:val="22"/>
        </w:rPr>
        <w:t xml:space="preserve"> La línea contará con el siguiente esquema de otorgamiento del subsidio a la tasa final al productor.</w:t>
      </w:r>
    </w:p>
    <w:p w14:paraId="290ABD46" w14:textId="77777777" w:rsidR="0019130F" w:rsidRDefault="0019130F" w:rsidP="0019130F">
      <w:pPr>
        <w:pStyle w:val="Prrafodelista"/>
        <w:rPr>
          <w:rFonts w:ascii="Arial" w:hAnsi="Arial" w:cs="Arial"/>
          <w:sz w:val="22"/>
          <w:szCs w:val="22"/>
        </w:rPr>
      </w:pPr>
    </w:p>
    <w:p w14:paraId="6E506567" w14:textId="77777777" w:rsidR="00881226" w:rsidRDefault="00881226" w:rsidP="0019130F">
      <w:pPr>
        <w:pStyle w:val="Prrafodelista"/>
        <w:rPr>
          <w:rFonts w:ascii="Arial" w:hAnsi="Arial" w:cs="Arial"/>
          <w:sz w:val="22"/>
          <w:szCs w:val="22"/>
        </w:rPr>
      </w:pPr>
    </w:p>
    <w:p w14:paraId="7DDA39FE" w14:textId="77777777" w:rsidR="00881226" w:rsidRDefault="00881226" w:rsidP="0019130F">
      <w:pPr>
        <w:pStyle w:val="Prrafodelista"/>
        <w:rPr>
          <w:rFonts w:ascii="Arial" w:hAnsi="Arial" w:cs="Arial"/>
          <w:sz w:val="22"/>
          <w:szCs w:val="22"/>
        </w:rPr>
      </w:pPr>
    </w:p>
    <w:p w14:paraId="04DC469F" w14:textId="77777777" w:rsidR="00881226" w:rsidRDefault="00881226" w:rsidP="0019130F">
      <w:pPr>
        <w:pStyle w:val="Prrafodelista"/>
        <w:rPr>
          <w:rFonts w:ascii="Arial" w:hAnsi="Arial" w:cs="Arial"/>
          <w:sz w:val="22"/>
          <w:szCs w:val="22"/>
        </w:rPr>
      </w:pPr>
    </w:p>
    <w:p w14:paraId="0BAD31DD" w14:textId="77777777" w:rsidR="00881226" w:rsidRDefault="00881226" w:rsidP="0019130F">
      <w:pPr>
        <w:pStyle w:val="Prrafodelista"/>
        <w:rPr>
          <w:rFonts w:ascii="Arial" w:hAnsi="Arial" w:cs="Arial"/>
          <w:sz w:val="22"/>
          <w:szCs w:val="22"/>
        </w:rPr>
      </w:pPr>
    </w:p>
    <w:p w14:paraId="61843369" w14:textId="77777777" w:rsidR="00881226" w:rsidRPr="0019130F" w:rsidRDefault="00881226" w:rsidP="0019130F">
      <w:pPr>
        <w:pStyle w:val="Prrafodelista"/>
        <w:rPr>
          <w:rFonts w:ascii="Arial" w:hAnsi="Arial" w:cs="Arial"/>
          <w:sz w:val="22"/>
          <w:szCs w:val="22"/>
        </w:rPr>
      </w:pPr>
    </w:p>
    <w:p w14:paraId="36A34259" w14:textId="2E14A436" w:rsidR="0019130F" w:rsidRDefault="0019130F" w:rsidP="0019130F">
      <w:pPr>
        <w:ind w:left="708" w:firstLine="708"/>
        <w:jc w:val="both"/>
        <w:rPr>
          <w:rFonts w:ascii="Arial" w:hAnsi="Arial" w:cs="Arial"/>
          <w:b/>
          <w:color w:val="000000" w:themeColor="text1"/>
          <w:sz w:val="22"/>
          <w:szCs w:val="22"/>
          <w:lang w:val="es-ES_tradnl" w:eastAsia="es-CO"/>
        </w:rPr>
      </w:pPr>
      <w:r w:rsidRPr="00D6620C">
        <w:rPr>
          <w:rFonts w:ascii="Arial" w:hAnsi="Arial" w:cs="Arial"/>
          <w:b/>
          <w:color w:val="000000" w:themeColor="text1"/>
          <w:sz w:val="22"/>
          <w:szCs w:val="22"/>
          <w:lang w:val="es-ES_tradnl" w:eastAsia="es-CO"/>
        </w:rPr>
        <w:lastRenderedPageBreak/>
        <w:t>Condiciones financieras en IBR*</w:t>
      </w:r>
    </w:p>
    <w:tbl>
      <w:tblPr>
        <w:tblW w:w="9072" w:type="dxa"/>
        <w:tblLayout w:type="fixed"/>
        <w:tblCellMar>
          <w:left w:w="70" w:type="dxa"/>
          <w:right w:w="70" w:type="dxa"/>
        </w:tblCellMar>
        <w:tblLook w:val="04A0" w:firstRow="1" w:lastRow="0" w:firstColumn="1" w:lastColumn="0" w:noHBand="0" w:noVBand="1"/>
      </w:tblPr>
      <w:tblGrid>
        <w:gridCol w:w="1134"/>
        <w:gridCol w:w="1294"/>
        <w:gridCol w:w="1400"/>
        <w:gridCol w:w="1275"/>
        <w:gridCol w:w="1843"/>
        <w:gridCol w:w="992"/>
        <w:gridCol w:w="1134"/>
      </w:tblGrid>
      <w:tr w:rsidR="0019130F" w14:paraId="16D622EA" w14:textId="77777777" w:rsidTr="06457A15">
        <w:trPr>
          <w:trHeight w:val="620"/>
        </w:trPr>
        <w:tc>
          <w:tcPr>
            <w:tcW w:w="1134" w:type="dxa"/>
            <w:tcBorders>
              <w:top w:val="single" w:sz="8" w:space="0" w:color="auto"/>
              <w:left w:val="nil"/>
              <w:bottom w:val="nil"/>
              <w:right w:val="nil"/>
            </w:tcBorders>
            <w:shd w:val="clear" w:color="auto" w:fill="FFFFFF" w:themeFill="background1"/>
            <w:vAlign w:val="center"/>
            <w:hideMark/>
          </w:tcPr>
          <w:p w14:paraId="30352F58" w14:textId="77777777" w:rsidR="0019130F" w:rsidRDefault="0019130F" w:rsidP="009137D3">
            <w:pPr>
              <w:jc w:val="center"/>
              <w:rPr>
                <w:rFonts w:ascii="Arial" w:hAnsi="Arial" w:cs="Arial"/>
                <w:b/>
                <w:bCs/>
                <w:color w:val="000000"/>
                <w:sz w:val="18"/>
                <w:szCs w:val="18"/>
                <w:lang w:eastAsia="es-CO"/>
              </w:rPr>
            </w:pPr>
            <w:r>
              <w:rPr>
                <w:rFonts w:ascii="Arial" w:hAnsi="Arial" w:cs="Arial"/>
                <w:b/>
                <w:bCs/>
                <w:color w:val="000000"/>
                <w:sz w:val="18"/>
                <w:szCs w:val="18"/>
                <w:lang w:val="es-ES_tradnl"/>
              </w:rPr>
              <w:t>Tipo de Productor</w:t>
            </w:r>
          </w:p>
        </w:tc>
        <w:tc>
          <w:tcPr>
            <w:tcW w:w="1294" w:type="dxa"/>
            <w:tcBorders>
              <w:top w:val="single" w:sz="8" w:space="0" w:color="auto"/>
              <w:left w:val="nil"/>
              <w:bottom w:val="nil"/>
              <w:right w:val="nil"/>
            </w:tcBorders>
            <w:shd w:val="clear" w:color="auto" w:fill="FFFFFF" w:themeFill="background1"/>
            <w:vAlign w:val="center"/>
            <w:hideMark/>
          </w:tcPr>
          <w:p w14:paraId="036602BD" w14:textId="77777777" w:rsidR="0019130F" w:rsidRDefault="0019130F" w:rsidP="009137D3">
            <w:pPr>
              <w:jc w:val="center"/>
              <w:rPr>
                <w:rFonts w:ascii="Arial" w:hAnsi="Arial" w:cs="Arial"/>
                <w:b/>
                <w:bCs/>
                <w:color w:val="000000"/>
                <w:sz w:val="18"/>
                <w:szCs w:val="18"/>
              </w:rPr>
            </w:pPr>
            <w:r>
              <w:rPr>
                <w:rFonts w:ascii="Arial" w:hAnsi="Arial" w:cs="Arial"/>
                <w:b/>
                <w:bCs/>
                <w:color w:val="000000"/>
                <w:sz w:val="18"/>
                <w:szCs w:val="18"/>
                <w:lang w:val="es-ES_tradnl"/>
              </w:rPr>
              <w:t>Beneficiario Especial</w:t>
            </w:r>
          </w:p>
        </w:tc>
        <w:tc>
          <w:tcPr>
            <w:tcW w:w="1400" w:type="dxa"/>
            <w:tcBorders>
              <w:top w:val="single" w:sz="8" w:space="0" w:color="auto"/>
              <w:left w:val="nil"/>
              <w:bottom w:val="nil"/>
              <w:right w:val="nil"/>
            </w:tcBorders>
            <w:shd w:val="clear" w:color="auto" w:fill="FFFFFF" w:themeFill="background1"/>
            <w:vAlign w:val="center"/>
            <w:hideMark/>
          </w:tcPr>
          <w:p w14:paraId="7B83AFE0" w14:textId="77777777" w:rsidR="0019130F" w:rsidRDefault="0019130F" w:rsidP="009137D3">
            <w:pPr>
              <w:jc w:val="center"/>
              <w:rPr>
                <w:rFonts w:ascii="Arial" w:hAnsi="Arial" w:cs="Arial"/>
                <w:b/>
                <w:bCs/>
                <w:color w:val="000000"/>
                <w:sz w:val="18"/>
                <w:szCs w:val="18"/>
              </w:rPr>
            </w:pPr>
            <w:r>
              <w:rPr>
                <w:rFonts w:ascii="Arial" w:hAnsi="Arial" w:cs="Arial"/>
                <w:b/>
                <w:bCs/>
                <w:color w:val="000000"/>
                <w:sz w:val="18"/>
                <w:szCs w:val="18"/>
                <w:lang w:val="es-ES_tradnl"/>
              </w:rPr>
              <w:t>Tasa de Redescuento</w:t>
            </w:r>
          </w:p>
        </w:tc>
        <w:tc>
          <w:tcPr>
            <w:tcW w:w="1275" w:type="dxa"/>
            <w:tcBorders>
              <w:top w:val="single" w:sz="8" w:space="0" w:color="auto"/>
              <w:left w:val="nil"/>
              <w:bottom w:val="nil"/>
              <w:right w:val="nil"/>
            </w:tcBorders>
            <w:shd w:val="clear" w:color="auto" w:fill="FFFFFF" w:themeFill="background1"/>
            <w:noWrap/>
            <w:vAlign w:val="center"/>
            <w:hideMark/>
          </w:tcPr>
          <w:p w14:paraId="09657C09" w14:textId="77777777" w:rsidR="0019130F" w:rsidRDefault="0019130F"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Subsidio</w:t>
            </w:r>
          </w:p>
          <w:p w14:paraId="05FF0C74" w14:textId="35823570" w:rsidR="00850B41" w:rsidRDefault="00850B41"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c>
          <w:tcPr>
            <w:tcW w:w="1843" w:type="dxa"/>
            <w:tcBorders>
              <w:top w:val="single" w:sz="8" w:space="0" w:color="auto"/>
              <w:left w:val="nil"/>
              <w:bottom w:val="nil"/>
              <w:right w:val="nil"/>
            </w:tcBorders>
            <w:shd w:val="clear" w:color="auto" w:fill="FFFFFF" w:themeFill="background1"/>
            <w:vAlign w:val="center"/>
            <w:hideMark/>
          </w:tcPr>
          <w:p w14:paraId="3B7AD01A" w14:textId="77777777" w:rsidR="0019130F" w:rsidRDefault="0019130F"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Tasa de Interés con Subsidio</w:t>
            </w:r>
          </w:p>
          <w:p w14:paraId="248D7D28" w14:textId="718E3CB3" w:rsidR="00850B41" w:rsidRDefault="00850B41"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c>
          <w:tcPr>
            <w:tcW w:w="992" w:type="dxa"/>
            <w:tcBorders>
              <w:top w:val="single" w:sz="8" w:space="0" w:color="auto"/>
              <w:left w:val="nil"/>
              <w:bottom w:val="nil"/>
              <w:right w:val="nil"/>
            </w:tcBorders>
            <w:shd w:val="clear" w:color="auto" w:fill="FFFFFF" w:themeFill="background1"/>
            <w:vAlign w:val="center"/>
            <w:hideMark/>
          </w:tcPr>
          <w:p w14:paraId="63073827" w14:textId="77777777" w:rsidR="0019130F" w:rsidRDefault="0019130F" w:rsidP="009137D3">
            <w:pPr>
              <w:jc w:val="center"/>
              <w:rPr>
                <w:rFonts w:ascii="Arial" w:hAnsi="Arial" w:cs="Arial"/>
                <w:b/>
                <w:bCs/>
                <w:color w:val="000000"/>
                <w:sz w:val="18"/>
                <w:szCs w:val="18"/>
              </w:rPr>
            </w:pPr>
            <w:r>
              <w:rPr>
                <w:rFonts w:ascii="Arial" w:hAnsi="Arial" w:cs="Arial"/>
                <w:b/>
                <w:bCs/>
                <w:color w:val="000000"/>
                <w:sz w:val="18"/>
                <w:szCs w:val="18"/>
                <w:lang w:val="es-ES_tradnl"/>
              </w:rPr>
              <w:t>Subsidio Adicional**</w:t>
            </w:r>
          </w:p>
        </w:tc>
        <w:tc>
          <w:tcPr>
            <w:tcW w:w="1134" w:type="dxa"/>
            <w:tcBorders>
              <w:top w:val="single" w:sz="8" w:space="0" w:color="auto"/>
              <w:left w:val="nil"/>
              <w:bottom w:val="nil"/>
              <w:right w:val="nil"/>
            </w:tcBorders>
            <w:shd w:val="clear" w:color="auto" w:fill="FFFFFF" w:themeFill="background1"/>
            <w:vAlign w:val="center"/>
            <w:hideMark/>
          </w:tcPr>
          <w:p w14:paraId="4F5A1D74" w14:textId="77777777" w:rsidR="0019130F" w:rsidRDefault="0019130F"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Tasa de interés con subsidio adicional</w:t>
            </w:r>
          </w:p>
          <w:p w14:paraId="27021B18" w14:textId="4F28DD8E" w:rsidR="00850B41" w:rsidRDefault="00850B41"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r>
      <w:tr w:rsidR="0019130F" w14:paraId="48075B6A" w14:textId="77777777" w:rsidTr="06457A15">
        <w:trPr>
          <w:trHeight w:val="1860"/>
        </w:trPr>
        <w:tc>
          <w:tcPr>
            <w:tcW w:w="1134" w:type="dxa"/>
            <w:vMerge w:val="restart"/>
            <w:tcBorders>
              <w:top w:val="single" w:sz="8" w:space="0" w:color="auto"/>
              <w:left w:val="nil"/>
              <w:bottom w:val="single" w:sz="8" w:space="0" w:color="000000" w:themeColor="text1"/>
              <w:right w:val="nil"/>
            </w:tcBorders>
            <w:shd w:val="clear" w:color="auto" w:fill="FFFFFF" w:themeFill="background1"/>
            <w:vAlign w:val="center"/>
            <w:hideMark/>
          </w:tcPr>
          <w:p w14:paraId="30063184" w14:textId="77777777" w:rsidR="0019130F" w:rsidRDefault="0019130F" w:rsidP="009137D3">
            <w:pPr>
              <w:jc w:val="center"/>
              <w:rPr>
                <w:rFonts w:ascii="Arial" w:hAnsi="Arial" w:cs="Arial"/>
                <w:color w:val="000000"/>
                <w:sz w:val="18"/>
                <w:szCs w:val="18"/>
              </w:rPr>
            </w:pPr>
            <w:r>
              <w:rPr>
                <w:rFonts w:ascii="Arial" w:hAnsi="Arial" w:cs="Arial"/>
                <w:color w:val="000000"/>
                <w:sz w:val="18"/>
                <w:szCs w:val="18"/>
              </w:rPr>
              <w:t>Pequeño Productor de ingresos bajos</w:t>
            </w:r>
          </w:p>
        </w:tc>
        <w:tc>
          <w:tcPr>
            <w:tcW w:w="1294" w:type="dxa"/>
            <w:tcBorders>
              <w:top w:val="single" w:sz="8" w:space="0" w:color="auto"/>
              <w:left w:val="nil"/>
              <w:bottom w:val="single" w:sz="8" w:space="0" w:color="auto"/>
              <w:right w:val="nil"/>
            </w:tcBorders>
            <w:shd w:val="clear" w:color="auto" w:fill="FFFFFF" w:themeFill="background1"/>
            <w:vAlign w:val="center"/>
            <w:hideMark/>
          </w:tcPr>
          <w:p w14:paraId="78A66BDE" w14:textId="1F0C49E4" w:rsidR="0019130F" w:rsidRDefault="6A72322E" w:rsidP="73CC8A29">
            <w:pPr>
              <w:rPr>
                <w:rFonts w:ascii="Arial" w:hAnsi="Arial" w:cs="Arial"/>
                <w:color w:val="000000"/>
                <w:sz w:val="18"/>
                <w:szCs w:val="18"/>
              </w:rPr>
            </w:pPr>
            <w:r w:rsidRPr="73CC8A29">
              <w:rPr>
                <w:rFonts w:ascii="Arial" w:hAnsi="Arial" w:cs="Arial"/>
                <w:color w:val="000000" w:themeColor="text1"/>
                <w:sz w:val="18"/>
                <w:szCs w:val="18"/>
              </w:rPr>
              <w:t>Pequeño de productor de ingresos bajos, Joven rural y Comunidades Negras, Afrocolombianas, Raizales y Palenqueras (NARP), Comunidades indígenas y étnicas</w:t>
            </w:r>
            <w:r w:rsidR="4791645E" w:rsidRPr="73CC8A29">
              <w:rPr>
                <w:rFonts w:ascii="Arial" w:hAnsi="Arial" w:cs="Arial"/>
                <w:color w:val="000000" w:themeColor="text1"/>
                <w:sz w:val="18"/>
                <w:szCs w:val="18"/>
              </w:rPr>
              <w:t xml:space="preserve"> (in</w:t>
            </w:r>
            <w:r w:rsidR="7CC84E69" w:rsidRPr="73CC8A29">
              <w:rPr>
                <w:rFonts w:ascii="Arial" w:hAnsi="Arial" w:cs="Arial"/>
                <w:color w:val="000000" w:themeColor="text1"/>
                <w:sz w:val="18"/>
                <w:szCs w:val="18"/>
              </w:rPr>
              <w:t>c</w:t>
            </w:r>
            <w:r w:rsidR="4791645E" w:rsidRPr="73CC8A29">
              <w:rPr>
                <w:rFonts w:ascii="Arial" w:hAnsi="Arial" w:cs="Arial"/>
                <w:color w:val="000000" w:themeColor="text1"/>
                <w:sz w:val="18"/>
                <w:szCs w:val="18"/>
              </w:rPr>
              <w:t>luid</w:t>
            </w:r>
            <w:r w:rsidR="1C5F04BB" w:rsidRPr="73CC8A29">
              <w:rPr>
                <w:rFonts w:ascii="Arial" w:hAnsi="Arial" w:cs="Arial"/>
                <w:color w:val="000000" w:themeColor="text1"/>
                <w:sz w:val="18"/>
                <w:szCs w:val="18"/>
              </w:rPr>
              <w:t>os los pueblos indígenas de la Guajira y en especial las comunidades</w:t>
            </w:r>
            <w:r w:rsidR="4791645E" w:rsidRPr="73CC8A29">
              <w:rPr>
                <w:rFonts w:ascii="Arial" w:hAnsi="Arial" w:cs="Arial"/>
                <w:color w:val="000000" w:themeColor="text1"/>
                <w:sz w:val="18"/>
                <w:szCs w:val="18"/>
              </w:rPr>
              <w:t xml:space="preserve"> Wayú</w:t>
            </w:r>
            <w:r w:rsidR="3BF78A3B" w:rsidRPr="73CC8A29">
              <w:rPr>
                <w:rFonts w:ascii="Arial" w:hAnsi="Arial" w:cs="Arial"/>
                <w:color w:val="000000" w:themeColor="text1"/>
                <w:sz w:val="18"/>
                <w:szCs w:val="18"/>
              </w:rPr>
              <w:t>u</w:t>
            </w:r>
            <w:r w:rsidR="7CC84E69" w:rsidRPr="73CC8A29">
              <w:rPr>
                <w:rFonts w:ascii="Arial" w:hAnsi="Arial" w:cs="Arial"/>
                <w:color w:val="000000" w:themeColor="text1"/>
                <w:sz w:val="18"/>
                <w:szCs w:val="18"/>
              </w:rPr>
              <w:t>)</w:t>
            </w:r>
            <w:r w:rsidRPr="73CC8A29">
              <w:rPr>
                <w:rFonts w:ascii="Arial" w:hAnsi="Arial" w:cs="Arial"/>
                <w:color w:val="000000" w:themeColor="text1"/>
                <w:sz w:val="18"/>
                <w:szCs w:val="18"/>
              </w:rPr>
              <w:t>, población con discapacidad, Población LGBTIQ+ OSIGD, Productores en Zonas de Reserva Campesina, Campesino, Población adulto mayor.</w:t>
            </w:r>
          </w:p>
        </w:tc>
        <w:tc>
          <w:tcPr>
            <w:tcW w:w="1400" w:type="dxa"/>
            <w:tcBorders>
              <w:top w:val="single" w:sz="8" w:space="0" w:color="auto"/>
              <w:left w:val="nil"/>
              <w:bottom w:val="single" w:sz="8" w:space="0" w:color="auto"/>
              <w:right w:val="nil"/>
            </w:tcBorders>
            <w:shd w:val="clear" w:color="auto" w:fill="FFFFFF" w:themeFill="background1"/>
            <w:noWrap/>
            <w:vAlign w:val="center"/>
            <w:hideMark/>
          </w:tcPr>
          <w:p w14:paraId="23851877" w14:textId="77777777" w:rsidR="0019130F" w:rsidRDefault="0019130F" w:rsidP="009137D3">
            <w:pPr>
              <w:jc w:val="center"/>
              <w:rPr>
                <w:rFonts w:ascii="Arial" w:hAnsi="Arial" w:cs="Arial"/>
                <w:color w:val="000000"/>
                <w:sz w:val="18"/>
                <w:szCs w:val="18"/>
              </w:rPr>
            </w:pPr>
            <w:r>
              <w:rPr>
                <w:rFonts w:ascii="Arial" w:hAnsi="Arial" w:cs="Arial"/>
                <w:color w:val="000000"/>
                <w:sz w:val="18"/>
                <w:szCs w:val="18"/>
              </w:rPr>
              <w:t>IBR - 2,6%</w:t>
            </w:r>
          </w:p>
        </w:tc>
        <w:tc>
          <w:tcPr>
            <w:tcW w:w="1275" w:type="dxa"/>
            <w:tcBorders>
              <w:top w:val="single" w:sz="8" w:space="0" w:color="auto"/>
              <w:left w:val="nil"/>
              <w:bottom w:val="single" w:sz="8" w:space="0" w:color="auto"/>
              <w:right w:val="nil"/>
            </w:tcBorders>
            <w:shd w:val="clear" w:color="auto" w:fill="FFFFFF" w:themeFill="background1"/>
            <w:noWrap/>
            <w:vAlign w:val="center"/>
            <w:hideMark/>
          </w:tcPr>
          <w:p w14:paraId="4408479A" w14:textId="70ED6D9B" w:rsidR="0019130F" w:rsidRDefault="00A22C06" w:rsidP="009137D3">
            <w:pPr>
              <w:jc w:val="center"/>
              <w:rPr>
                <w:rFonts w:ascii="Arial" w:hAnsi="Arial" w:cs="Arial"/>
                <w:color w:val="000000"/>
                <w:sz w:val="18"/>
                <w:szCs w:val="18"/>
              </w:rPr>
            </w:pPr>
            <w:r>
              <w:rPr>
                <w:rFonts w:ascii="Arial" w:hAnsi="Arial" w:cs="Arial"/>
                <w:color w:val="000000"/>
                <w:sz w:val="18"/>
                <w:szCs w:val="18"/>
              </w:rPr>
              <w:t>11,9</w:t>
            </w:r>
            <w:r w:rsidR="0019130F">
              <w:rPr>
                <w:rFonts w:ascii="Arial" w:hAnsi="Arial" w:cs="Arial"/>
                <w:color w:val="000000"/>
                <w:sz w:val="18"/>
                <w:szCs w:val="18"/>
              </w:rPr>
              <w:t>% ea</w:t>
            </w:r>
          </w:p>
        </w:tc>
        <w:tc>
          <w:tcPr>
            <w:tcW w:w="1843" w:type="dxa"/>
            <w:tcBorders>
              <w:top w:val="single" w:sz="8" w:space="0" w:color="auto"/>
              <w:left w:val="nil"/>
              <w:bottom w:val="single" w:sz="8" w:space="0" w:color="auto"/>
              <w:right w:val="nil"/>
            </w:tcBorders>
            <w:shd w:val="clear" w:color="auto" w:fill="FFFFFF" w:themeFill="background1"/>
            <w:noWrap/>
            <w:vAlign w:val="center"/>
            <w:hideMark/>
          </w:tcPr>
          <w:p w14:paraId="0CAFA588" w14:textId="7AC1063A" w:rsidR="0019130F" w:rsidRDefault="0019130F" w:rsidP="009137D3">
            <w:pPr>
              <w:jc w:val="center"/>
              <w:rPr>
                <w:rFonts w:ascii="Arial" w:hAnsi="Arial" w:cs="Arial"/>
                <w:color w:val="000000"/>
                <w:sz w:val="18"/>
                <w:szCs w:val="18"/>
              </w:rPr>
            </w:pPr>
            <w:r>
              <w:rPr>
                <w:rFonts w:ascii="Arial" w:hAnsi="Arial" w:cs="Arial"/>
                <w:color w:val="000000"/>
                <w:sz w:val="18"/>
                <w:szCs w:val="18"/>
              </w:rPr>
              <w:t xml:space="preserve">IBR </w:t>
            </w:r>
            <w:r w:rsidR="001D1446">
              <w:rPr>
                <w:rFonts w:ascii="Arial" w:hAnsi="Arial" w:cs="Arial"/>
                <w:color w:val="000000"/>
                <w:sz w:val="18"/>
                <w:szCs w:val="18"/>
              </w:rPr>
              <w:t>-</w:t>
            </w:r>
            <w:r>
              <w:rPr>
                <w:rFonts w:ascii="Arial" w:hAnsi="Arial" w:cs="Arial"/>
                <w:color w:val="000000"/>
                <w:sz w:val="18"/>
                <w:szCs w:val="18"/>
              </w:rPr>
              <w:t xml:space="preserve"> 7%</w:t>
            </w:r>
          </w:p>
        </w:tc>
        <w:tc>
          <w:tcPr>
            <w:tcW w:w="992" w:type="dxa"/>
            <w:tcBorders>
              <w:top w:val="single" w:sz="8" w:space="0" w:color="auto"/>
              <w:left w:val="nil"/>
              <w:bottom w:val="single" w:sz="8" w:space="0" w:color="auto"/>
              <w:right w:val="nil"/>
            </w:tcBorders>
            <w:shd w:val="clear" w:color="auto" w:fill="FFFFFF" w:themeFill="background1"/>
            <w:vAlign w:val="center"/>
            <w:hideMark/>
          </w:tcPr>
          <w:p w14:paraId="496E09EE" w14:textId="77777777" w:rsidR="0019130F" w:rsidRDefault="0019130F" w:rsidP="009137D3">
            <w:pPr>
              <w:jc w:val="center"/>
              <w:rPr>
                <w:rFonts w:ascii="Arial" w:hAnsi="Arial" w:cs="Arial"/>
                <w:color w:val="000000"/>
                <w:sz w:val="18"/>
                <w:szCs w:val="18"/>
              </w:rPr>
            </w:pPr>
            <w:r>
              <w:rPr>
                <w:rFonts w:ascii="Arial" w:hAnsi="Arial" w:cs="Arial"/>
                <w:color w:val="000000"/>
                <w:sz w:val="18"/>
                <w:szCs w:val="18"/>
              </w:rPr>
              <w:t>1%</w:t>
            </w:r>
          </w:p>
        </w:tc>
        <w:tc>
          <w:tcPr>
            <w:tcW w:w="1134" w:type="dxa"/>
            <w:tcBorders>
              <w:top w:val="single" w:sz="8" w:space="0" w:color="auto"/>
              <w:left w:val="nil"/>
              <w:bottom w:val="single" w:sz="8" w:space="0" w:color="auto"/>
              <w:right w:val="nil"/>
            </w:tcBorders>
            <w:shd w:val="clear" w:color="auto" w:fill="FFFFFF" w:themeFill="background1"/>
            <w:noWrap/>
            <w:vAlign w:val="center"/>
            <w:hideMark/>
          </w:tcPr>
          <w:p w14:paraId="1D7FB9CB" w14:textId="7CF4B054" w:rsidR="0019130F" w:rsidRDefault="0019130F" w:rsidP="009137D3">
            <w:pPr>
              <w:jc w:val="center"/>
              <w:rPr>
                <w:rFonts w:ascii="Arial" w:hAnsi="Arial" w:cs="Arial"/>
                <w:color w:val="000000"/>
                <w:sz w:val="18"/>
                <w:szCs w:val="18"/>
              </w:rPr>
            </w:pPr>
            <w:r>
              <w:rPr>
                <w:rFonts w:ascii="Arial" w:hAnsi="Arial" w:cs="Arial"/>
                <w:color w:val="000000"/>
                <w:sz w:val="18"/>
                <w:szCs w:val="18"/>
              </w:rPr>
              <w:t xml:space="preserve">IBR </w:t>
            </w:r>
            <w:r w:rsidR="007F0982">
              <w:rPr>
                <w:rFonts w:ascii="Arial" w:hAnsi="Arial" w:cs="Arial"/>
                <w:color w:val="000000"/>
                <w:sz w:val="18"/>
                <w:szCs w:val="18"/>
              </w:rPr>
              <w:t>- 8</w:t>
            </w:r>
            <w:r>
              <w:rPr>
                <w:rFonts w:ascii="Arial" w:hAnsi="Arial" w:cs="Arial"/>
                <w:color w:val="000000"/>
                <w:sz w:val="18"/>
                <w:szCs w:val="18"/>
              </w:rPr>
              <w:t>%</w:t>
            </w:r>
          </w:p>
        </w:tc>
      </w:tr>
      <w:tr w:rsidR="0019130F" w14:paraId="3B5E00DD" w14:textId="77777777" w:rsidTr="06457A15">
        <w:trPr>
          <w:trHeight w:val="240"/>
        </w:trPr>
        <w:tc>
          <w:tcPr>
            <w:tcW w:w="1134" w:type="dxa"/>
            <w:vMerge/>
            <w:vAlign w:val="center"/>
            <w:hideMark/>
          </w:tcPr>
          <w:p w14:paraId="5D4AD3F6" w14:textId="77777777" w:rsidR="0019130F" w:rsidRDefault="0019130F" w:rsidP="009137D3">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1AB27822" w14:textId="77777777" w:rsidR="0019130F" w:rsidRDefault="0019130F" w:rsidP="009137D3">
            <w:pPr>
              <w:rPr>
                <w:rFonts w:ascii="Arial" w:hAnsi="Arial" w:cs="Arial"/>
                <w:color w:val="000000"/>
                <w:sz w:val="18"/>
                <w:szCs w:val="18"/>
              </w:rPr>
            </w:pPr>
            <w:r>
              <w:rPr>
                <w:rFonts w:ascii="Arial" w:hAnsi="Arial" w:cs="Arial"/>
                <w:color w:val="000000"/>
                <w:sz w:val="18"/>
                <w:szCs w:val="18"/>
              </w:rPr>
              <w:t>Mujer Rural</w:t>
            </w:r>
          </w:p>
        </w:tc>
        <w:tc>
          <w:tcPr>
            <w:tcW w:w="1400" w:type="dxa"/>
            <w:tcBorders>
              <w:top w:val="nil"/>
              <w:left w:val="nil"/>
              <w:bottom w:val="single" w:sz="8" w:space="0" w:color="auto"/>
              <w:right w:val="nil"/>
            </w:tcBorders>
            <w:shd w:val="clear" w:color="auto" w:fill="FFFFFF" w:themeFill="background1"/>
            <w:noWrap/>
            <w:vAlign w:val="center"/>
            <w:hideMark/>
          </w:tcPr>
          <w:p w14:paraId="4BB77C2E" w14:textId="77777777" w:rsidR="0019130F" w:rsidRDefault="0019130F" w:rsidP="009137D3">
            <w:pPr>
              <w:jc w:val="center"/>
              <w:rPr>
                <w:rFonts w:ascii="Arial" w:hAnsi="Arial" w:cs="Arial"/>
                <w:color w:val="000000"/>
                <w:sz w:val="18"/>
                <w:szCs w:val="18"/>
              </w:rPr>
            </w:pPr>
            <w:r>
              <w:rPr>
                <w:rFonts w:ascii="Arial" w:hAnsi="Arial" w:cs="Arial"/>
                <w:color w:val="000000"/>
                <w:sz w:val="18"/>
                <w:szCs w:val="18"/>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5923C3A8" w14:textId="25136AC1" w:rsidR="0019130F" w:rsidRDefault="0051561A" w:rsidP="009137D3">
            <w:pPr>
              <w:jc w:val="center"/>
              <w:rPr>
                <w:rFonts w:ascii="Arial" w:hAnsi="Arial" w:cs="Arial"/>
                <w:color w:val="000000"/>
                <w:sz w:val="18"/>
                <w:szCs w:val="18"/>
              </w:rPr>
            </w:pPr>
            <w:r>
              <w:rPr>
                <w:rFonts w:ascii="Arial" w:hAnsi="Arial" w:cs="Arial"/>
                <w:color w:val="000000"/>
                <w:sz w:val="18"/>
                <w:szCs w:val="18"/>
              </w:rPr>
              <w:t>11,9</w:t>
            </w:r>
            <w:r w:rsidR="0019130F">
              <w:rPr>
                <w:rFonts w:ascii="Arial" w:hAnsi="Arial" w:cs="Arial"/>
                <w:color w:val="000000"/>
                <w:sz w:val="18"/>
                <w:szCs w:val="18"/>
              </w:rPr>
              <w:t>% ea</w:t>
            </w:r>
          </w:p>
        </w:tc>
        <w:tc>
          <w:tcPr>
            <w:tcW w:w="1843" w:type="dxa"/>
            <w:tcBorders>
              <w:top w:val="nil"/>
              <w:left w:val="nil"/>
              <w:bottom w:val="single" w:sz="8" w:space="0" w:color="auto"/>
              <w:right w:val="nil"/>
            </w:tcBorders>
            <w:shd w:val="clear" w:color="auto" w:fill="FFFFFF" w:themeFill="background1"/>
            <w:noWrap/>
            <w:vAlign w:val="center"/>
            <w:hideMark/>
          </w:tcPr>
          <w:p w14:paraId="4C15E0CB" w14:textId="6CA4EDF1" w:rsidR="0019130F" w:rsidRDefault="0019130F" w:rsidP="009137D3">
            <w:pPr>
              <w:jc w:val="center"/>
              <w:rPr>
                <w:rFonts w:ascii="Arial" w:hAnsi="Arial" w:cs="Arial"/>
                <w:color w:val="000000"/>
                <w:sz w:val="18"/>
                <w:szCs w:val="18"/>
              </w:rPr>
            </w:pPr>
            <w:r>
              <w:rPr>
                <w:rFonts w:ascii="Arial" w:hAnsi="Arial" w:cs="Arial"/>
                <w:color w:val="000000"/>
                <w:sz w:val="18"/>
                <w:szCs w:val="18"/>
              </w:rPr>
              <w:t xml:space="preserve">IBR - </w:t>
            </w:r>
            <w:r w:rsidR="00A94C3B">
              <w:rPr>
                <w:rFonts w:ascii="Arial" w:hAnsi="Arial" w:cs="Arial"/>
                <w:color w:val="000000"/>
                <w:sz w:val="18"/>
                <w:szCs w:val="18"/>
              </w:rPr>
              <w:t>7</w:t>
            </w:r>
            <w:r>
              <w:rPr>
                <w:rFonts w:ascii="Arial" w:hAnsi="Arial" w:cs="Arial"/>
                <w:color w:val="000000"/>
                <w:sz w:val="18"/>
                <w:szCs w:val="18"/>
              </w:rPr>
              <w:t>%</w:t>
            </w:r>
          </w:p>
        </w:tc>
        <w:tc>
          <w:tcPr>
            <w:tcW w:w="992" w:type="dxa"/>
            <w:tcBorders>
              <w:top w:val="nil"/>
              <w:left w:val="nil"/>
              <w:bottom w:val="single" w:sz="8" w:space="0" w:color="auto"/>
              <w:right w:val="nil"/>
            </w:tcBorders>
            <w:shd w:val="clear" w:color="auto" w:fill="FFFFFF" w:themeFill="background1"/>
            <w:vAlign w:val="center"/>
            <w:hideMark/>
          </w:tcPr>
          <w:p w14:paraId="7E5DA0A3" w14:textId="5F75B37B" w:rsidR="0019130F" w:rsidRDefault="00AF5527" w:rsidP="009137D3">
            <w:pPr>
              <w:jc w:val="center"/>
              <w:rPr>
                <w:rFonts w:ascii="Arial" w:hAnsi="Arial" w:cs="Arial"/>
                <w:color w:val="000000"/>
                <w:sz w:val="18"/>
                <w:szCs w:val="18"/>
              </w:rPr>
            </w:pPr>
            <w:r>
              <w:rPr>
                <w:rFonts w:ascii="Arial" w:hAnsi="Arial" w:cs="Arial"/>
                <w:color w:val="000000"/>
                <w:sz w:val="18"/>
                <w:szCs w:val="18"/>
              </w:rPr>
              <w:t>1%</w:t>
            </w:r>
            <w:r w:rsidR="0019130F">
              <w:rPr>
                <w:rFonts w:ascii="Arial" w:hAnsi="Arial" w:cs="Arial"/>
                <w:color w:val="000000"/>
                <w:sz w:val="18"/>
                <w:szCs w:val="18"/>
              </w:rPr>
              <w:t> </w:t>
            </w:r>
            <w:r w:rsidR="005E7528">
              <w:rPr>
                <w:rFonts w:ascii="Arial" w:hAnsi="Arial" w:cs="Arial"/>
                <w:color w:val="000000"/>
                <w:sz w:val="18"/>
                <w:szCs w:val="18"/>
              </w:rPr>
              <w:t>e. a</w:t>
            </w:r>
          </w:p>
        </w:tc>
        <w:tc>
          <w:tcPr>
            <w:tcW w:w="1134" w:type="dxa"/>
            <w:tcBorders>
              <w:top w:val="nil"/>
              <w:left w:val="nil"/>
              <w:bottom w:val="single" w:sz="8" w:space="0" w:color="auto"/>
              <w:right w:val="nil"/>
            </w:tcBorders>
            <w:shd w:val="clear" w:color="auto" w:fill="FFFFFF" w:themeFill="background1"/>
            <w:vAlign w:val="center"/>
            <w:hideMark/>
          </w:tcPr>
          <w:p w14:paraId="68E885B3" w14:textId="003FDE71" w:rsidR="0019130F" w:rsidRDefault="0019130F" w:rsidP="009137D3">
            <w:pPr>
              <w:jc w:val="center"/>
              <w:rPr>
                <w:rFonts w:ascii="Arial" w:hAnsi="Arial" w:cs="Arial"/>
                <w:color w:val="000000"/>
                <w:sz w:val="18"/>
                <w:szCs w:val="18"/>
              </w:rPr>
            </w:pPr>
            <w:r>
              <w:rPr>
                <w:rFonts w:ascii="Arial" w:hAnsi="Arial" w:cs="Arial"/>
                <w:color w:val="000000"/>
                <w:sz w:val="18"/>
                <w:szCs w:val="18"/>
              </w:rPr>
              <w:t> </w:t>
            </w:r>
            <w:r w:rsidR="00224FEF">
              <w:rPr>
                <w:rFonts w:ascii="Arial" w:hAnsi="Arial" w:cs="Arial"/>
                <w:color w:val="000000"/>
                <w:sz w:val="18"/>
                <w:szCs w:val="18"/>
              </w:rPr>
              <w:t>IBR – 8%</w:t>
            </w:r>
          </w:p>
        </w:tc>
      </w:tr>
      <w:tr w:rsidR="00D032C6" w14:paraId="619978BC" w14:textId="77777777" w:rsidTr="06457A15">
        <w:trPr>
          <w:trHeight w:val="930"/>
        </w:trPr>
        <w:tc>
          <w:tcPr>
            <w:tcW w:w="1134" w:type="dxa"/>
            <w:vMerge/>
            <w:vAlign w:val="center"/>
            <w:hideMark/>
          </w:tcPr>
          <w:p w14:paraId="2053FA26" w14:textId="77777777" w:rsidR="00D032C6" w:rsidRDefault="00D032C6" w:rsidP="00D032C6">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50B051CE" w14:textId="77777777" w:rsidR="00D032C6" w:rsidRDefault="00D032C6" w:rsidP="00D032C6">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1400" w:type="dxa"/>
            <w:tcBorders>
              <w:top w:val="nil"/>
              <w:left w:val="nil"/>
              <w:bottom w:val="single" w:sz="8" w:space="0" w:color="auto"/>
              <w:right w:val="nil"/>
            </w:tcBorders>
            <w:shd w:val="clear" w:color="auto" w:fill="FFFFFF" w:themeFill="background1"/>
            <w:noWrap/>
            <w:vAlign w:val="center"/>
            <w:hideMark/>
          </w:tcPr>
          <w:p w14:paraId="173F290D" w14:textId="341558CF" w:rsidR="00D032C6" w:rsidRDefault="00D032C6" w:rsidP="00D032C6">
            <w:pPr>
              <w:jc w:val="center"/>
              <w:rPr>
                <w:rFonts w:ascii="Arial" w:hAnsi="Arial" w:cs="Arial"/>
                <w:color w:val="000000"/>
                <w:sz w:val="18"/>
                <w:szCs w:val="18"/>
              </w:rPr>
            </w:pPr>
            <w:r>
              <w:rPr>
                <w:rFonts w:ascii="Arial" w:hAnsi="Arial" w:cs="Arial"/>
                <w:color w:val="000000"/>
                <w:sz w:val="18"/>
                <w:szCs w:val="18"/>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6D1689B3" w14:textId="4D2E659D" w:rsidR="00D032C6" w:rsidRDefault="00D032C6" w:rsidP="00D032C6">
            <w:pPr>
              <w:jc w:val="center"/>
              <w:rPr>
                <w:rFonts w:ascii="Arial" w:hAnsi="Arial" w:cs="Arial"/>
                <w:color w:val="000000"/>
                <w:sz w:val="18"/>
                <w:szCs w:val="18"/>
              </w:rPr>
            </w:pPr>
            <w:r>
              <w:rPr>
                <w:rFonts w:ascii="Arial" w:hAnsi="Arial" w:cs="Arial"/>
                <w:color w:val="000000"/>
                <w:sz w:val="18"/>
                <w:szCs w:val="18"/>
              </w:rPr>
              <w:t>1</w:t>
            </w:r>
            <w:r w:rsidR="00ED12FC">
              <w:rPr>
                <w:rFonts w:ascii="Arial" w:hAnsi="Arial" w:cs="Arial"/>
                <w:color w:val="000000"/>
                <w:sz w:val="18"/>
                <w:szCs w:val="18"/>
              </w:rPr>
              <w:t>2</w:t>
            </w:r>
            <w:r>
              <w:rPr>
                <w:rFonts w:ascii="Arial" w:hAnsi="Arial" w:cs="Arial"/>
                <w:color w:val="000000"/>
                <w:sz w:val="18"/>
                <w:szCs w:val="18"/>
              </w:rPr>
              <w:t>,9% ea</w:t>
            </w:r>
          </w:p>
        </w:tc>
        <w:tc>
          <w:tcPr>
            <w:tcW w:w="1843" w:type="dxa"/>
            <w:tcBorders>
              <w:top w:val="nil"/>
              <w:left w:val="nil"/>
              <w:bottom w:val="single" w:sz="8" w:space="0" w:color="auto"/>
              <w:right w:val="nil"/>
            </w:tcBorders>
            <w:shd w:val="clear" w:color="auto" w:fill="FFFFFF" w:themeFill="background1"/>
            <w:noWrap/>
            <w:vAlign w:val="center"/>
            <w:hideMark/>
          </w:tcPr>
          <w:p w14:paraId="14AD77CA" w14:textId="13CBA2BB" w:rsidR="00D032C6" w:rsidRDefault="00D032C6" w:rsidP="00D032C6">
            <w:pPr>
              <w:jc w:val="center"/>
              <w:rPr>
                <w:rFonts w:ascii="Arial" w:hAnsi="Arial" w:cs="Arial"/>
                <w:color w:val="000000"/>
                <w:sz w:val="18"/>
                <w:szCs w:val="18"/>
              </w:rPr>
            </w:pPr>
            <w:r>
              <w:rPr>
                <w:rFonts w:ascii="Arial" w:hAnsi="Arial" w:cs="Arial"/>
                <w:color w:val="000000"/>
                <w:sz w:val="18"/>
                <w:szCs w:val="18"/>
              </w:rPr>
              <w:t xml:space="preserve">IBR - </w:t>
            </w:r>
            <w:r w:rsidR="00ED12FC">
              <w:rPr>
                <w:rFonts w:ascii="Arial" w:hAnsi="Arial" w:cs="Arial"/>
                <w:color w:val="000000"/>
                <w:sz w:val="18"/>
                <w:szCs w:val="18"/>
              </w:rPr>
              <w:t>6</w:t>
            </w:r>
            <w:r>
              <w:rPr>
                <w:rFonts w:ascii="Arial" w:hAnsi="Arial" w:cs="Arial"/>
                <w:color w:val="000000"/>
                <w:sz w:val="18"/>
                <w:szCs w:val="18"/>
              </w:rPr>
              <w:t>%</w:t>
            </w:r>
          </w:p>
        </w:tc>
        <w:tc>
          <w:tcPr>
            <w:tcW w:w="992" w:type="dxa"/>
            <w:tcBorders>
              <w:top w:val="nil"/>
              <w:left w:val="nil"/>
              <w:bottom w:val="single" w:sz="8" w:space="0" w:color="auto"/>
              <w:right w:val="nil"/>
            </w:tcBorders>
            <w:shd w:val="clear" w:color="auto" w:fill="FFFFFF" w:themeFill="background1"/>
            <w:vAlign w:val="center"/>
            <w:hideMark/>
          </w:tcPr>
          <w:p w14:paraId="5DD93940" w14:textId="63762C37" w:rsidR="00D032C6" w:rsidRDefault="00D032C6" w:rsidP="00D032C6">
            <w:pPr>
              <w:jc w:val="center"/>
              <w:rPr>
                <w:rFonts w:ascii="Arial" w:hAnsi="Arial" w:cs="Arial"/>
                <w:color w:val="000000"/>
                <w:sz w:val="18"/>
                <w:szCs w:val="18"/>
              </w:rPr>
            </w:pPr>
            <w:r>
              <w:rPr>
                <w:rFonts w:ascii="Arial" w:hAnsi="Arial" w:cs="Arial"/>
                <w:color w:val="000000"/>
                <w:sz w:val="18"/>
                <w:szCs w:val="18"/>
              </w:rPr>
              <w:t>1%</w:t>
            </w:r>
            <w:r w:rsidR="00ED12FC">
              <w:rPr>
                <w:rFonts w:ascii="Arial" w:hAnsi="Arial" w:cs="Arial"/>
                <w:color w:val="000000"/>
                <w:sz w:val="18"/>
                <w:szCs w:val="18"/>
              </w:rPr>
              <w:t xml:space="preserve"> </w:t>
            </w:r>
            <w:r w:rsidR="005E7528">
              <w:rPr>
                <w:rFonts w:ascii="Arial" w:hAnsi="Arial" w:cs="Arial"/>
                <w:color w:val="000000"/>
                <w:sz w:val="18"/>
                <w:szCs w:val="18"/>
              </w:rPr>
              <w:t>e. a</w:t>
            </w:r>
          </w:p>
        </w:tc>
        <w:tc>
          <w:tcPr>
            <w:tcW w:w="1134" w:type="dxa"/>
            <w:tcBorders>
              <w:top w:val="nil"/>
              <w:left w:val="nil"/>
              <w:bottom w:val="single" w:sz="8" w:space="0" w:color="auto"/>
              <w:right w:val="nil"/>
            </w:tcBorders>
            <w:shd w:val="clear" w:color="auto" w:fill="FFFFFF" w:themeFill="background1"/>
            <w:vAlign w:val="center"/>
            <w:hideMark/>
          </w:tcPr>
          <w:p w14:paraId="71764748" w14:textId="3BBB3FAA" w:rsidR="00D032C6" w:rsidRDefault="00D032C6" w:rsidP="00D032C6">
            <w:pPr>
              <w:jc w:val="center"/>
              <w:rPr>
                <w:rFonts w:ascii="Arial" w:hAnsi="Arial" w:cs="Arial"/>
                <w:color w:val="000000"/>
                <w:sz w:val="18"/>
                <w:szCs w:val="18"/>
              </w:rPr>
            </w:pPr>
            <w:r>
              <w:rPr>
                <w:rFonts w:ascii="Arial" w:hAnsi="Arial" w:cs="Arial"/>
                <w:color w:val="000000"/>
                <w:sz w:val="18"/>
                <w:szCs w:val="18"/>
              </w:rPr>
              <w:t xml:space="preserve">IBR - </w:t>
            </w:r>
            <w:r w:rsidR="00ED12FC">
              <w:rPr>
                <w:rFonts w:ascii="Arial" w:hAnsi="Arial" w:cs="Arial"/>
                <w:color w:val="000000"/>
                <w:sz w:val="18"/>
                <w:szCs w:val="18"/>
              </w:rPr>
              <w:t>9</w:t>
            </w:r>
            <w:r>
              <w:rPr>
                <w:rFonts w:ascii="Arial" w:hAnsi="Arial" w:cs="Arial"/>
                <w:color w:val="000000"/>
                <w:sz w:val="18"/>
                <w:szCs w:val="18"/>
              </w:rPr>
              <w:t>%</w:t>
            </w:r>
          </w:p>
        </w:tc>
      </w:tr>
      <w:tr w:rsidR="0060734A" w14:paraId="6714196F" w14:textId="77777777" w:rsidTr="06457A15">
        <w:trPr>
          <w:trHeight w:val="1620"/>
        </w:trPr>
        <w:tc>
          <w:tcPr>
            <w:tcW w:w="1134" w:type="dxa"/>
            <w:vMerge w:val="restart"/>
            <w:tcBorders>
              <w:top w:val="nil"/>
              <w:left w:val="nil"/>
              <w:bottom w:val="single" w:sz="8" w:space="0" w:color="000000" w:themeColor="text1"/>
              <w:right w:val="nil"/>
            </w:tcBorders>
            <w:shd w:val="clear" w:color="auto" w:fill="FFFFFF" w:themeFill="background1"/>
            <w:vAlign w:val="center"/>
            <w:hideMark/>
          </w:tcPr>
          <w:p w14:paraId="57B9AD92" w14:textId="77777777" w:rsidR="0060734A" w:rsidRDefault="0060734A" w:rsidP="0060734A">
            <w:pPr>
              <w:jc w:val="center"/>
              <w:rPr>
                <w:rFonts w:ascii="Arial" w:hAnsi="Arial" w:cs="Arial"/>
                <w:color w:val="000000"/>
                <w:sz w:val="18"/>
                <w:szCs w:val="18"/>
              </w:rPr>
            </w:pPr>
            <w:r>
              <w:rPr>
                <w:rFonts w:ascii="Arial" w:hAnsi="Arial" w:cs="Arial"/>
                <w:color w:val="000000"/>
                <w:sz w:val="18"/>
                <w:szCs w:val="18"/>
              </w:rPr>
              <w:t>Pequeño Productor</w:t>
            </w:r>
          </w:p>
        </w:tc>
        <w:tc>
          <w:tcPr>
            <w:tcW w:w="1294" w:type="dxa"/>
            <w:tcBorders>
              <w:top w:val="nil"/>
              <w:left w:val="nil"/>
              <w:bottom w:val="single" w:sz="8" w:space="0" w:color="auto"/>
              <w:right w:val="nil"/>
            </w:tcBorders>
            <w:shd w:val="clear" w:color="auto" w:fill="FFFFFF" w:themeFill="background1"/>
            <w:vAlign w:val="center"/>
            <w:hideMark/>
          </w:tcPr>
          <w:p w14:paraId="09449BC0" w14:textId="426F3409" w:rsidR="0060734A" w:rsidRDefault="53B41474" w:rsidP="73CC8A29">
            <w:pPr>
              <w:rPr>
                <w:rFonts w:ascii="Arial" w:hAnsi="Arial" w:cs="Arial"/>
                <w:color w:val="000000"/>
                <w:sz w:val="18"/>
                <w:szCs w:val="18"/>
              </w:rPr>
            </w:pPr>
            <w:r w:rsidRPr="06457A15">
              <w:rPr>
                <w:rFonts w:ascii="Arial" w:hAnsi="Arial" w:cs="Arial"/>
                <w:color w:val="000000" w:themeColor="text1"/>
                <w:sz w:val="18"/>
                <w:szCs w:val="18"/>
              </w:rPr>
              <w:t>Pequeño productor, Joven rural, y Comunidades Negras, Afrocolombianas, Raizales y Palenqueras (NARP), Comunidades indígenas y étnicas</w:t>
            </w:r>
            <w:r w:rsidR="56D9F479" w:rsidRPr="06457A15">
              <w:rPr>
                <w:rFonts w:ascii="Arial" w:hAnsi="Arial" w:cs="Arial"/>
                <w:color w:val="000000" w:themeColor="text1"/>
                <w:sz w:val="18"/>
                <w:szCs w:val="18"/>
              </w:rPr>
              <w:t xml:space="preserve"> (i</w:t>
            </w:r>
            <w:r w:rsidR="627502BD" w:rsidRPr="06457A15">
              <w:rPr>
                <w:rFonts w:ascii="Arial" w:hAnsi="Arial" w:cs="Arial"/>
                <w:color w:val="000000" w:themeColor="text1"/>
                <w:sz w:val="18"/>
                <w:szCs w:val="18"/>
              </w:rPr>
              <w:t xml:space="preserve">ncluidos los pueblos indígenas de la Guajira y en especial las comunidades </w:t>
            </w:r>
            <w:r w:rsidR="56D9F479" w:rsidRPr="06457A15">
              <w:rPr>
                <w:rFonts w:ascii="Arial" w:hAnsi="Arial" w:cs="Arial"/>
                <w:color w:val="000000" w:themeColor="text1"/>
                <w:sz w:val="18"/>
                <w:szCs w:val="18"/>
              </w:rPr>
              <w:t>Wayú</w:t>
            </w:r>
            <w:r w:rsidR="24F1750E" w:rsidRPr="06457A15">
              <w:rPr>
                <w:rFonts w:ascii="Arial" w:hAnsi="Arial" w:cs="Arial"/>
                <w:color w:val="000000" w:themeColor="text1"/>
                <w:sz w:val="18"/>
                <w:szCs w:val="18"/>
              </w:rPr>
              <w:t>u</w:t>
            </w:r>
            <w:r w:rsidR="56D9F479" w:rsidRPr="06457A15">
              <w:rPr>
                <w:rFonts w:ascii="Arial" w:hAnsi="Arial" w:cs="Arial"/>
                <w:color w:val="000000" w:themeColor="text1"/>
                <w:sz w:val="18"/>
                <w:szCs w:val="18"/>
              </w:rPr>
              <w:t>),</w:t>
            </w:r>
            <w:r w:rsidRPr="06457A15">
              <w:rPr>
                <w:rFonts w:ascii="Arial" w:hAnsi="Arial" w:cs="Arial"/>
                <w:color w:val="000000" w:themeColor="text1"/>
                <w:sz w:val="18"/>
                <w:szCs w:val="18"/>
              </w:rPr>
              <w:t xml:space="preserve"> Población con discapacidad, Población </w:t>
            </w:r>
            <w:r w:rsidRPr="06457A15">
              <w:rPr>
                <w:rFonts w:ascii="Arial" w:hAnsi="Arial" w:cs="Arial"/>
                <w:color w:val="000000" w:themeColor="text1"/>
                <w:sz w:val="18"/>
                <w:szCs w:val="18"/>
              </w:rPr>
              <w:lastRenderedPageBreak/>
              <w:t>LGBTIQ+ OSIGD, Campesino, Población adulto mayor.</w:t>
            </w:r>
          </w:p>
        </w:tc>
        <w:tc>
          <w:tcPr>
            <w:tcW w:w="1400" w:type="dxa"/>
            <w:tcBorders>
              <w:top w:val="nil"/>
              <w:left w:val="nil"/>
              <w:bottom w:val="single" w:sz="8" w:space="0" w:color="auto"/>
              <w:right w:val="nil"/>
            </w:tcBorders>
            <w:shd w:val="clear" w:color="auto" w:fill="FFFFFF" w:themeFill="background1"/>
            <w:noWrap/>
            <w:vAlign w:val="center"/>
            <w:hideMark/>
          </w:tcPr>
          <w:p w14:paraId="2817C2D5" w14:textId="2B3CBBFF" w:rsidR="0060734A" w:rsidRDefault="0060734A" w:rsidP="0060734A">
            <w:pPr>
              <w:jc w:val="center"/>
              <w:rPr>
                <w:rFonts w:ascii="Arial" w:hAnsi="Arial" w:cs="Arial"/>
                <w:color w:val="000000"/>
                <w:sz w:val="18"/>
                <w:szCs w:val="18"/>
              </w:rPr>
            </w:pPr>
            <w:r w:rsidRPr="00EF2E77">
              <w:rPr>
                <w:rFonts w:ascii="Arial" w:hAnsi="Arial" w:cs="Arial"/>
                <w:color w:val="000000" w:themeColor="text1"/>
                <w:sz w:val="18"/>
                <w:szCs w:val="18"/>
              </w:rPr>
              <w:lastRenderedPageBreak/>
              <w:t>IBR – 2,6%</w:t>
            </w:r>
          </w:p>
        </w:tc>
        <w:tc>
          <w:tcPr>
            <w:tcW w:w="1275" w:type="dxa"/>
            <w:tcBorders>
              <w:top w:val="nil"/>
              <w:left w:val="nil"/>
              <w:bottom w:val="single" w:sz="8" w:space="0" w:color="auto"/>
              <w:right w:val="nil"/>
            </w:tcBorders>
            <w:shd w:val="clear" w:color="auto" w:fill="FFFFFF" w:themeFill="background1"/>
            <w:noWrap/>
            <w:vAlign w:val="center"/>
            <w:hideMark/>
          </w:tcPr>
          <w:p w14:paraId="329A340E" w14:textId="5B8262C1" w:rsidR="0060734A" w:rsidRDefault="0060734A" w:rsidP="0060734A">
            <w:pPr>
              <w:jc w:val="center"/>
              <w:rPr>
                <w:rFonts w:ascii="Arial" w:hAnsi="Arial" w:cs="Arial"/>
                <w:color w:val="000000"/>
                <w:sz w:val="18"/>
                <w:szCs w:val="18"/>
              </w:rPr>
            </w:pPr>
            <w:r>
              <w:rPr>
                <w:rFonts w:ascii="Arial" w:hAnsi="Arial" w:cs="Arial"/>
                <w:color w:val="000000" w:themeColor="text1"/>
                <w:sz w:val="18"/>
                <w:szCs w:val="18"/>
                <w:lang w:val="es-ES_tradnl"/>
              </w:rPr>
              <w:t>10,9</w:t>
            </w:r>
            <w:r w:rsidRPr="00EF2E77">
              <w:rPr>
                <w:rFonts w:ascii="Arial" w:hAnsi="Arial" w:cs="Arial"/>
                <w:color w:val="000000" w:themeColor="text1"/>
                <w:sz w:val="18"/>
                <w:szCs w:val="18"/>
                <w:lang w:val="es-ES_tradnl"/>
              </w:rPr>
              <w:t>% e.a.</w:t>
            </w:r>
          </w:p>
        </w:tc>
        <w:tc>
          <w:tcPr>
            <w:tcW w:w="1843" w:type="dxa"/>
            <w:tcBorders>
              <w:top w:val="nil"/>
              <w:left w:val="nil"/>
              <w:bottom w:val="single" w:sz="8" w:space="0" w:color="auto"/>
              <w:right w:val="nil"/>
            </w:tcBorders>
            <w:shd w:val="clear" w:color="auto" w:fill="FFFFFF" w:themeFill="background1"/>
            <w:noWrap/>
            <w:vAlign w:val="center"/>
            <w:hideMark/>
          </w:tcPr>
          <w:p w14:paraId="60CBCC49" w14:textId="68600DC6" w:rsidR="0060734A" w:rsidRDefault="0060734A" w:rsidP="0060734A">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0568E623" w14:textId="5BE1C045" w:rsidR="0060734A" w:rsidRDefault="0060734A" w:rsidP="0060734A">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noWrap/>
            <w:vAlign w:val="center"/>
            <w:hideMark/>
          </w:tcPr>
          <w:p w14:paraId="2451897C" w14:textId="724E8ADD" w:rsidR="0060734A" w:rsidRDefault="0060734A" w:rsidP="0060734A">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3B21F0" w14:paraId="313819DA" w14:textId="77777777" w:rsidTr="06457A15">
        <w:trPr>
          <w:trHeight w:val="240"/>
        </w:trPr>
        <w:tc>
          <w:tcPr>
            <w:tcW w:w="1134" w:type="dxa"/>
            <w:vMerge/>
            <w:vAlign w:val="center"/>
            <w:hideMark/>
          </w:tcPr>
          <w:p w14:paraId="0920AACB" w14:textId="77777777" w:rsidR="003B21F0" w:rsidRDefault="003B21F0" w:rsidP="003B21F0">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4544DDB3" w14:textId="77777777" w:rsidR="003B21F0" w:rsidRDefault="003B21F0" w:rsidP="003B21F0">
            <w:pPr>
              <w:rPr>
                <w:rFonts w:ascii="Arial" w:hAnsi="Arial" w:cs="Arial"/>
                <w:color w:val="000000"/>
                <w:sz w:val="18"/>
                <w:szCs w:val="18"/>
              </w:rPr>
            </w:pPr>
            <w:r>
              <w:rPr>
                <w:rFonts w:ascii="Arial" w:hAnsi="Arial" w:cs="Arial"/>
                <w:color w:val="000000"/>
                <w:sz w:val="18"/>
                <w:szCs w:val="18"/>
              </w:rPr>
              <w:t>Mujer Rural</w:t>
            </w:r>
          </w:p>
        </w:tc>
        <w:tc>
          <w:tcPr>
            <w:tcW w:w="1400" w:type="dxa"/>
            <w:tcBorders>
              <w:top w:val="nil"/>
              <w:left w:val="nil"/>
              <w:bottom w:val="single" w:sz="8" w:space="0" w:color="auto"/>
              <w:right w:val="nil"/>
            </w:tcBorders>
            <w:shd w:val="clear" w:color="auto" w:fill="FFFFFF" w:themeFill="background1"/>
            <w:noWrap/>
            <w:vAlign w:val="center"/>
            <w:hideMark/>
          </w:tcPr>
          <w:p w14:paraId="7DF9FF74" w14:textId="36CF26F0" w:rsidR="003B21F0" w:rsidRDefault="003B21F0" w:rsidP="003B21F0">
            <w:pPr>
              <w:jc w:val="center"/>
              <w:rPr>
                <w:rFonts w:ascii="Arial" w:hAnsi="Arial" w:cs="Arial"/>
                <w:color w:val="000000"/>
                <w:sz w:val="18"/>
                <w:szCs w:val="18"/>
              </w:rPr>
            </w:pPr>
            <w:r w:rsidRPr="00EF2E77">
              <w:rPr>
                <w:rFonts w:ascii="Arial" w:hAnsi="Arial" w:cs="Arial"/>
                <w:color w:val="000000" w:themeColor="text1"/>
                <w:sz w:val="18"/>
                <w:szCs w:val="18"/>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7ACA06C3" w14:textId="69B0E6D5" w:rsidR="003B21F0" w:rsidRDefault="003B21F0" w:rsidP="003B21F0">
            <w:pPr>
              <w:jc w:val="center"/>
              <w:rPr>
                <w:rFonts w:ascii="Arial" w:hAnsi="Arial" w:cs="Arial"/>
                <w:color w:val="000000"/>
                <w:sz w:val="18"/>
                <w:szCs w:val="18"/>
              </w:rPr>
            </w:pPr>
            <w:r>
              <w:rPr>
                <w:rFonts w:ascii="Arial" w:hAnsi="Arial" w:cs="Arial"/>
                <w:color w:val="000000" w:themeColor="text1"/>
                <w:sz w:val="18"/>
                <w:szCs w:val="18"/>
                <w:lang w:val="es-ES_tradnl"/>
              </w:rPr>
              <w:t>11,9</w:t>
            </w:r>
            <w:r w:rsidRPr="00EF2E77">
              <w:rPr>
                <w:rFonts w:ascii="Arial" w:hAnsi="Arial" w:cs="Arial"/>
                <w:color w:val="000000" w:themeColor="text1"/>
                <w:sz w:val="18"/>
                <w:szCs w:val="18"/>
                <w:lang w:val="es-ES_tradnl"/>
              </w:rPr>
              <w:t>% e.a.</w:t>
            </w:r>
          </w:p>
        </w:tc>
        <w:tc>
          <w:tcPr>
            <w:tcW w:w="1843" w:type="dxa"/>
            <w:tcBorders>
              <w:top w:val="nil"/>
              <w:left w:val="nil"/>
              <w:bottom w:val="single" w:sz="8" w:space="0" w:color="auto"/>
              <w:right w:val="nil"/>
            </w:tcBorders>
            <w:shd w:val="clear" w:color="auto" w:fill="FFFFFF" w:themeFill="background1"/>
            <w:noWrap/>
            <w:vAlign w:val="center"/>
            <w:hideMark/>
          </w:tcPr>
          <w:p w14:paraId="33727056" w14:textId="50B94C76" w:rsidR="003B21F0" w:rsidRDefault="003B21F0" w:rsidP="003B21F0">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484C52B5" w14:textId="64788196" w:rsidR="003B21F0" w:rsidRDefault="003B21F0" w:rsidP="003B21F0">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330DBDD3" w14:textId="6166B5A5" w:rsidR="003B21F0" w:rsidRDefault="003B21F0" w:rsidP="003B21F0">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- 8</w:t>
            </w:r>
            <w:r w:rsidRPr="00EF2E77">
              <w:rPr>
                <w:rFonts w:ascii="Arial" w:hAnsi="Arial" w:cs="Arial"/>
                <w:color w:val="000000" w:themeColor="text1"/>
                <w:sz w:val="18"/>
                <w:szCs w:val="18"/>
                <w:lang w:val="es-ES_tradnl"/>
              </w:rPr>
              <w:t>%</w:t>
            </w:r>
          </w:p>
        </w:tc>
      </w:tr>
      <w:tr w:rsidR="0064319F" w14:paraId="5A3317CE" w14:textId="77777777" w:rsidTr="06457A15">
        <w:trPr>
          <w:trHeight w:val="930"/>
        </w:trPr>
        <w:tc>
          <w:tcPr>
            <w:tcW w:w="1134" w:type="dxa"/>
            <w:vMerge/>
            <w:vAlign w:val="center"/>
            <w:hideMark/>
          </w:tcPr>
          <w:p w14:paraId="50447DA3" w14:textId="77777777" w:rsidR="0064319F" w:rsidRDefault="0064319F" w:rsidP="0064319F">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6E94ADF4" w14:textId="77777777" w:rsidR="0064319F" w:rsidRDefault="0064319F" w:rsidP="0064319F">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1400" w:type="dxa"/>
            <w:tcBorders>
              <w:top w:val="nil"/>
              <w:left w:val="nil"/>
              <w:bottom w:val="single" w:sz="8" w:space="0" w:color="auto"/>
              <w:right w:val="nil"/>
            </w:tcBorders>
            <w:shd w:val="clear" w:color="auto" w:fill="FFFFFF" w:themeFill="background1"/>
            <w:noWrap/>
            <w:vAlign w:val="center"/>
            <w:hideMark/>
          </w:tcPr>
          <w:p w14:paraId="58E25E61" w14:textId="0E336506" w:rsidR="0064319F" w:rsidRDefault="0064319F" w:rsidP="0064319F">
            <w:pPr>
              <w:jc w:val="center"/>
              <w:rPr>
                <w:rFonts w:ascii="Arial" w:hAnsi="Arial" w:cs="Arial"/>
                <w:color w:val="000000"/>
                <w:sz w:val="18"/>
                <w:szCs w:val="18"/>
              </w:rPr>
            </w:pPr>
            <w:r w:rsidRPr="00EF2E77">
              <w:rPr>
                <w:rFonts w:ascii="Arial" w:hAnsi="Arial" w:cs="Arial"/>
                <w:color w:val="000000" w:themeColor="text1"/>
                <w:sz w:val="18"/>
                <w:szCs w:val="18"/>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7F4B8913" w14:textId="686CCD0B" w:rsidR="0064319F" w:rsidRDefault="0064319F" w:rsidP="0064319F">
            <w:pPr>
              <w:jc w:val="center"/>
              <w:rPr>
                <w:rFonts w:ascii="Arial" w:hAnsi="Arial" w:cs="Arial"/>
                <w:color w:val="000000"/>
                <w:sz w:val="18"/>
                <w:szCs w:val="18"/>
              </w:rPr>
            </w:pPr>
            <w:r>
              <w:rPr>
                <w:rFonts w:ascii="Arial" w:hAnsi="Arial" w:cs="Arial"/>
                <w:color w:val="000000" w:themeColor="text1"/>
                <w:sz w:val="18"/>
                <w:szCs w:val="18"/>
                <w:lang w:val="es-ES_tradnl"/>
              </w:rPr>
              <w:t>10,9</w:t>
            </w:r>
            <w:r w:rsidRPr="00EF2E77">
              <w:rPr>
                <w:rFonts w:ascii="Arial" w:hAnsi="Arial" w:cs="Arial"/>
                <w:color w:val="000000" w:themeColor="text1"/>
                <w:sz w:val="18"/>
                <w:szCs w:val="18"/>
                <w:lang w:val="es-ES_tradnl"/>
              </w:rPr>
              <w:t>% e.a.</w:t>
            </w:r>
          </w:p>
        </w:tc>
        <w:tc>
          <w:tcPr>
            <w:tcW w:w="1843" w:type="dxa"/>
            <w:tcBorders>
              <w:top w:val="nil"/>
              <w:left w:val="nil"/>
              <w:bottom w:val="single" w:sz="8" w:space="0" w:color="auto"/>
              <w:right w:val="nil"/>
            </w:tcBorders>
            <w:shd w:val="clear" w:color="auto" w:fill="FFFFFF" w:themeFill="background1"/>
            <w:noWrap/>
            <w:vAlign w:val="center"/>
            <w:hideMark/>
          </w:tcPr>
          <w:p w14:paraId="0FD695F1" w14:textId="5DDC8FB3" w:rsidR="0064319F" w:rsidRDefault="0064319F" w:rsidP="0064319F">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3642F1BA" w14:textId="18C72C51" w:rsidR="0064319F" w:rsidRDefault="0064319F" w:rsidP="0064319F">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414048BB" w14:textId="7A57913D" w:rsidR="0064319F" w:rsidRDefault="0064319F" w:rsidP="0064319F">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3E7B1F" w14:paraId="0A961398" w14:textId="77777777" w:rsidTr="06457A15">
        <w:trPr>
          <w:trHeight w:val="240"/>
        </w:trPr>
        <w:tc>
          <w:tcPr>
            <w:tcW w:w="1134" w:type="dxa"/>
            <w:vMerge/>
            <w:vAlign w:val="center"/>
            <w:hideMark/>
          </w:tcPr>
          <w:p w14:paraId="75252CEC" w14:textId="77777777" w:rsidR="003E7B1F" w:rsidRDefault="003E7B1F" w:rsidP="003E7B1F">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2E3959F0" w14:textId="77777777" w:rsidR="003E7B1F" w:rsidRDefault="003E7B1F" w:rsidP="003E7B1F">
            <w:pPr>
              <w:rPr>
                <w:rFonts w:ascii="Arial" w:hAnsi="Arial" w:cs="Arial"/>
                <w:color w:val="000000"/>
                <w:sz w:val="18"/>
                <w:szCs w:val="18"/>
              </w:rPr>
            </w:pPr>
            <w:r>
              <w:rPr>
                <w:rFonts w:ascii="Arial" w:hAnsi="Arial" w:cs="Arial"/>
                <w:color w:val="000000"/>
                <w:sz w:val="18"/>
                <w:szCs w:val="18"/>
              </w:rPr>
              <w:t>Esquema asociativo</w:t>
            </w:r>
          </w:p>
        </w:tc>
        <w:tc>
          <w:tcPr>
            <w:tcW w:w="1400" w:type="dxa"/>
            <w:tcBorders>
              <w:top w:val="nil"/>
              <w:left w:val="nil"/>
              <w:bottom w:val="single" w:sz="8" w:space="0" w:color="auto"/>
              <w:right w:val="nil"/>
            </w:tcBorders>
            <w:shd w:val="clear" w:color="auto" w:fill="FFFFFF" w:themeFill="background1"/>
            <w:noWrap/>
            <w:vAlign w:val="center"/>
            <w:hideMark/>
          </w:tcPr>
          <w:p w14:paraId="693C1DEF" w14:textId="35F8D8F9" w:rsidR="003E7B1F" w:rsidRDefault="003E7B1F" w:rsidP="003E7B1F">
            <w:pPr>
              <w:jc w:val="center"/>
              <w:rPr>
                <w:rFonts w:ascii="Arial" w:hAnsi="Arial" w:cs="Arial"/>
                <w:color w:val="000000"/>
                <w:sz w:val="18"/>
                <w:szCs w:val="18"/>
              </w:rPr>
            </w:pPr>
            <w:r w:rsidRPr="00EF2E77">
              <w:rPr>
                <w:rFonts w:ascii="Arial" w:hAnsi="Arial" w:cs="Arial"/>
                <w:color w:val="000000" w:themeColor="text1"/>
                <w:sz w:val="18"/>
                <w:szCs w:val="18"/>
                <w:lang w:val="es-ES_tradnl"/>
              </w:rPr>
              <w:t>IBR – 3,5%</w:t>
            </w:r>
          </w:p>
        </w:tc>
        <w:tc>
          <w:tcPr>
            <w:tcW w:w="1275" w:type="dxa"/>
            <w:tcBorders>
              <w:top w:val="nil"/>
              <w:left w:val="nil"/>
              <w:bottom w:val="single" w:sz="8" w:space="0" w:color="auto"/>
              <w:right w:val="nil"/>
            </w:tcBorders>
            <w:shd w:val="clear" w:color="auto" w:fill="FFFFFF" w:themeFill="background1"/>
            <w:noWrap/>
            <w:vAlign w:val="center"/>
            <w:hideMark/>
          </w:tcPr>
          <w:p w14:paraId="42553A2F" w14:textId="2D9DD856" w:rsidR="003E7B1F" w:rsidRDefault="003E7B1F" w:rsidP="003E7B1F">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Pr>
                <w:rFonts w:ascii="Arial" w:hAnsi="Arial" w:cs="Arial"/>
                <w:color w:val="000000" w:themeColor="text1"/>
                <w:sz w:val="18"/>
                <w:szCs w:val="18"/>
                <w:lang w:val="es-ES_tradnl"/>
              </w:rPr>
              <w:t xml:space="preserve"> </w:t>
            </w:r>
            <w:r w:rsidRPr="00EF2E77">
              <w:rPr>
                <w:rFonts w:ascii="Arial" w:hAnsi="Arial" w:cs="Arial"/>
                <w:color w:val="000000" w:themeColor="text1"/>
                <w:sz w:val="18"/>
                <w:szCs w:val="18"/>
                <w:lang w:val="es-ES_tradnl"/>
              </w:rPr>
              <w:t>e.a.</w:t>
            </w:r>
          </w:p>
        </w:tc>
        <w:tc>
          <w:tcPr>
            <w:tcW w:w="1843" w:type="dxa"/>
            <w:tcBorders>
              <w:top w:val="nil"/>
              <w:left w:val="nil"/>
              <w:bottom w:val="single" w:sz="8" w:space="0" w:color="auto"/>
              <w:right w:val="nil"/>
            </w:tcBorders>
            <w:shd w:val="clear" w:color="auto" w:fill="FFFFFF" w:themeFill="background1"/>
            <w:noWrap/>
            <w:vAlign w:val="center"/>
            <w:hideMark/>
          </w:tcPr>
          <w:p w14:paraId="5AA5E72D" w14:textId="4409D8E4" w:rsidR="003E7B1F" w:rsidRDefault="003E7B1F" w:rsidP="003E7B1F">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xml:space="preserve">– 6 </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29A29BD7" w14:textId="4E5BB9EA" w:rsidR="003E7B1F" w:rsidRDefault="003E7B1F" w:rsidP="003E7B1F">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5E414F8F" w14:textId="5B91A906" w:rsidR="003E7B1F" w:rsidRDefault="003E7B1F" w:rsidP="003E7B1F">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F82400" w14:paraId="484F0C9F" w14:textId="77777777" w:rsidTr="06457A15">
        <w:trPr>
          <w:trHeight w:val="240"/>
        </w:trPr>
        <w:tc>
          <w:tcPr>
            <w:tcW w:w="1134" w:type="dxa"/>
            <w:vMerge/>
            <w:vAlign w:val="center"/>
            <w:hideMark/>
          </w:tcPr>
          <w:p w14:paraId="3A7A5E40" w14:textId="77777777" w:rsidR="00F82400" w:rsidRDefault="00F82400" w:rsidP="00F82400">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037E814A" w14:textId="77777777" w:rsidR="00F82400" w:rsidRDefault="00F82400" w:rsidP="00F82400">
            <w:pPr>
              <w:rPr>
                <w:rFonts w:ascii="Arial" w:hAnsi="Arial" w:cs="Arial"/>
                <w:color w:val="000000"/>
                <w:sz w:val="18"/>
                <w:szCs w:val="18"/>
              </w:rPr>
            </w:pPr>
            <w:r>
              <w:rPr>
                <w:rFonts w:ascii="Arial" w:hAnsi="Arial" w:cs="Arial"/>
                <w:color w:val="000000"/>
                <w:sz w:val="18"/>
                <w:szCs w:val="18"/>
              </w:rPr>
              <w:t>Esquema integración</w:t>
            </w:r>
          </w:p>
        </w:tc>
        <w:tc>
          <w:tcPr>
            <w:tcW w:w="1400" w:type="dxa"/>
            <w:tcBorders>
              <w:top w:val="nil"/>
              <w:left w:val="nil"/>
              <w:bottom w:val="single" w:sz="8" w:space="0" w:color="auto"/>
              <w:right w:val="nil"/>
            </w:tcBorders>
            <w:shd w:val="clear" w:color="auto" w:fill="FFFFFF" w:themeFill="background1"/>
            <w:noWrap/>
            <w:vAlign w:val="center"/>
            <w:hideMark/>
          </w:tcPr>
          <w:p w14:paraId="2732A4AA" w14:textId="6643138E" w:rsidR="00F82400" w:rsidRDefault="00F82400" w:rsidP="00F82400">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5CE3CABF" w14:textId="0630B738" w:rsidR="00F82400" w:rsidRDefault="00F82400" w:rsidP="00F82400">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843" w:type="dxa"/>
            <w:tcBorders>
              <w:top w:val="nil"/>
              <w:left w:val="nil"/>
              <w:bottom w:val="single" w:sz="8" w:space="0" w:color="auto"/>
              <w:right w:val="nil"/>
            </w:tcBorders>
            <w:shd w:val="clear" w:color="auto" w:fill="FFFFFF" w:themeFill="background1"/>
            <w:noWrap/>
            <w:vAlign w:val="center"/>
            <w:hideMark/>
          </w:tcPr>
          <w:p w14:paraId="29E5FC0C" w14:textId="6FA5D371" w:rsidR="00F82400" w:rsidRDefault="00F82400" w:rsidP="00F82400">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77031918" w14:textId="66E06A96" w:rsidR="00F82400" w:rsidRDefault="00F82400" w:rsidP="00F82400">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4CE6AB86" w14:textId="426E8EEF" w:rsidR="00F82400" w:rsidRDefault="00F82400" w:rsidP="00F82400">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3C3A40" w14:paraId="450F975E" w14:textId="77777777" w:rsidTr="06457A15">
        <w:trPr>
          <w:trHeight w:val="1620"/>
        </w:trPr>
        <w:tc>
          <w:tcPr>
            <w:tcW w:w="1134" w:type="dxa"/>
            <w:vMerge w:val="restart"/>
            <w:tcBorders>
              <w:top w:val="nil"/>
              <w:left w:val="nil"/>
              <w:bottom w:val="single" w:sz="8" w:space="0" w:color="000000" w:themeColor="text1"/>
              <w:right w:val="nil"/>
            </w:tcBorders>
            <w:shd w:val="clear" w:color="auto" w:fill="FFFFFF" w:themeFill="background1"/>
            <w:vAlign w:val="center"/>
            <w:hideMark/>
          </w:tcPr>
          <w:p w14:paraId="1BA3FA8B" w14:textId="77777777" w:rsidR="003C3A40" w:rsidRDefault="003C3A40" w:rsidP="003C3A40">
            <w:pPr>
              <w:jc w:val="center"/>
              <w:rPr>
                <w:rFonts w:ascii="Arial" w:hAnsi="Arial" w:cs="Arial"/>
                <w:color w:val="000000"/>
                <w:sz w:val="18"/>
                <w:szCs w:val="18"/>
              </w:rPr>
            </w:pPr>
            <w:r>
              <w:rPr>
                <w:rFonts w:ascii="Arial" w:hAnsi="Arial" w:cs="Arial"/>
                <w:color w:val="000000"/>
                <w:sz w:val="18"/>
                <w:szCs w:val="18"/>
              </w:rPr>
              <w:t>Mediano Productor</w:t>
            </w:r>
          </w:p>
        </w:tc>
        <w:tc>
          <w:tcPr>
            <w:tcW w:w="1294" w:type="dxa"/>
            <w:tcBorders>
              <w:top w:val="nil"/>
              <w:left w:val="nil"/>
              <w:bottom w:val="single" w:sz="8" w:space="0" w:color="auto"/>
              <w:right w:val="nil"/>
            </w:tcBorders>
            <w:shd w:val="clear" w:color="auto" w:fill="FFFFFF" w:themeFill="background1"/>
            <w:vAlign w:val="center"/>
            <w:hideMark/>
          </w:tcPr>
          <w:p w14:paraId="7CCF649C" w14:textId="7917297F" w:rsidR="003C3A40" w:rsidRDefault="722EE50A" w:rsidP="73CC8A29">
            <w:pPr>
              <w:rPr>
                <w:rFonts w:ascii="Arial" w:hAnsi="Arial" w:cs="Arial"/>
                <w:color w:val="000000"/>
                <w:sz w:val="18"/>
                <w:szCs w:val="18"/>
              </w:rPr>
            </w:pPr>
            <w:r w:rsidRPr="06457A15">
              <w:rPr>
                <w:rFonts w:ascii="Arial" w:hAnsi="Arial" w:cs="Arial"/>
                <w:color w:val="000000" w:themeColor="text1"/>
                <w:sz w:val="18"/>
                <w:szCs w:val="18"/>
              </w:rPr>
              <w:t>Mediano productor, Joven rural, Comunidades Negras, Afrocolombianas, Raizales y Palenqueras (NARP), y Mujer Rural, Comunidades indígenas y étnicas (incluid</w:t>
            </w:r>
            <w:r w:rsidR="29493CE2" w:rsidRPr="06457A15">
              <w:rPr>
                <w:rFonts w:ascii="Arial" w:hAnsi="Arial" w:cs="Arial"/>
                <w:color w:val="000000" w:themeColor="text1"/>
                <w:sz w:val="18"/>
                <w:szCs w:val="18"/>
              </w:rPr>
              <w:t>os los pueblos indígenas de la Guajira y en especial las comunidades</w:t>
            </w:r>
            <w:r w:rsidRPr="06457A15">
              <w:rPr>
                <w:rFonts w:ascii="Arial" w:hAnsi="Arial" w:cs="Arial"/>
                <w:color w:val="000000" w:themeColor="text1"/>
                <w:sz w:val="18"/>
                <w:szCs w:val="18"/>
              </w:rPr>
              <w:t xml:space="preserve"> Wayú</w:t>
            </w:r>
            <w:r w:rsidR="0DA783B8" w:rsidRPr="06457A15">
              <w:rPr>
                <w:rFonts w:ascii="Arial" w:hAnsi="Arial" w:cs="Arial"/>
                <w:color w:val="000000" w:themeColor="text1"/>
                <w:sz w:val="18"/>
                <w:szCs w:val="18"/>
              </w:rPr>
              <w:t>u</w:t>
            </w:r>
            <w:r w:rsidRPr="06457A15">
              <w:rPr>
                <w:rFonts w:ascii="Arial" w:hAnsi="Arial" w:cs="Arial"/>
                <w:color w:val="000000" w:themeColor="text1"/>
                <w:sz w:val="18"/>
                <w:szCs w:val="18"/>
              </w:rPr>
              <w:t xml:space="preserve">), Población con discapacidad, Población LGBTIQ+ OSIGD, Campesino, Población adulto mayor.       </w:t>
            </w:r>
          </w:p>
        </w:tc>
        <w:tc>
          <w:tcPr>
            <w:tcW w:w="1400" w:type="dxa"/>
            <w:tcBorders>
              <w:top w:val="nil"/>
              <w:left w:val="nil"/>
              <w:bottom w:val="single" w:sz="8" w:space="0" w:color="auto"/>
              <w:right w:val="nil"/>
            </w:tcBorders>
            <w:shd w:val="clear" w:color="auto" w:fill="FFFFFF" w:themeFill="background1"/>
            <w:noWrap/>
            <w:vAlign w:val="center"/>
            <w:hideMark/>
          </w:tcPr>
          <w:p w14:paraId="3B53A4C4" w14:textId="3043F55D" w:rsidR="003C3A40" w:rsidRDefault="003C3A40" w:rsidP="003C3A40">
            <w:pPr>
              <w:jc w:val="center"/>
              <w:rPr>
                <w:rFonts w:ascii="Arial" w:hAnsi="Arial" w:cs="Arial"/>
                <w:color w:val="000000"/>
                <w:sz w:val="18"/>
                <w:szCs w:val="18"/>
              </w:rPr>
            </w:pPr>
            <w:r w:rsidRPr="00960CCD">
              <w:rPr>
                <w:rFonts w:ascii="Arial" w:hAnsi="Arial" w:cs="Arial"/>
                <w:color w:val="000000" w:themeColor="text1"/>
                <w:sz w:val="18"/>
                <w:szCs w:val="18"/>
              </w:rPr>
              <w:t>IBR + 0,9</w:t>
            </w:r>
          </w:p>
        </w:tc>
        <w:tc>
          <w:tcPr>
            <w:tcW w:w="1275" w:type="dxa"/>
            <w:tcBorders>
              <w:top w:val="nil"/>
              <w:left w:val="nil"/>
              <w:bottom w:val="single" w:sz="8" w:space="0" w:color="auto"/>
              <w:right w:val="nil"/>
            </w:tcBorders>
            <w:shd w:val="clear" w:color="auto" w:fill="FFFFFF" w:themeFill="background1"/>
            <w:noWrap/>
            <w:vAlign w:val="center"/>
            <w:hideMark/>
          </w:tcPr>
          <w:p w14:paraId="12E4C2DB" w14:textId="48402153" w:rsidR="003C3A40" w:rsidRDefault="003C3A40" w:rsidP="003C3A40">
            <w:pPr>
              <w:jc w:val="center"/>
              <w:rPr>
                <w:rFonts w:ascii="Arial" w:hAnsi="Arial" w:cs="Arial"/>
                <w:color w:val="000000"/>
                <w:sz w:val="18"/>
                <w:szCs w:val="18"/>
              </w:rPr>
            </w:pPr>
            <w:r>
              <w:rPr>
                <w:rFonts w:ascii="Arial" w:hAnsi="Arial" w:cs="Arial"/>
                <w:color w:val="000000" w:themeColor="text1"/>
                <w:sz w:val="18"/>
                <w:szCs w:val="18"/>
                <w:lang w:val="es-ES_tradnl"/>
              </w:rPr>
              <w:t>9,9</w:t>
            </w:r>
            <w:r w:rsidRPr="00960CCD">
              <w:rPr>
                <w:rFonts w:ascii="Arial" w:hAnsi="Arial" w:cs="Arial"/>
                <w:color w:val="000000" w:themeColor="text1"/>
                <w:sz w:val="18"/>
                <w:szCs w:val="18"/>
                <w:lang w:val="es-ES_tradnl"/>
              </w:rPr>
              <w:t>% e.a.</w:t>
            </w:r>
          </w:p>
        </w:tc>
        <w:tc>
          <w:tcPr>
            <w:tcW w:w="1843" w:type="dxa"/>
            <w:tcBorders>
              <w:top w:val="nil"/>
              <w:left w:val="nil"/>
              <w:bottom w:val="single" w:sz="8" w:space="0" w:color="auto"/>
              <w:right w:val="nil"/>
            </w:tcBorders>
            <w:shd w:val="clear" w:color="auto" w:fill="FFFFFF" w:themeFill="background1"/>
            <w:noWrap/>
            <w:vAlign w:val="center"/>
            <w:hideMark/>
          </w:tcPr>
          <w:p w14:paraId="6D140241" w14:textId="6722E21B" w:rsidR="003C3A40" w:rsidRDefault="003C3A40" w:rsidP="003C3A40">
            <w:pPr>
              <w:jc w:val="center"/>
              <w:rPr>
                <w:rFonts w:ascii="Arial" w:hAnsi="Arial" w:cs="Arial"/>
                <w:color w:val="000000"/>
                <w:sz w:val="18"/>
                <w:szCs w:val="18"/>
              </w:rPr>
            </w:pPr>
            <w:r w:rsidRPr="00960CCD">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- 3</w:t>
            </w:r>
            <w:r w:rsidRPr="00960CCD">
              <w:rPr>
                <w:rFonts w:ascii="Arial" w:hAnsi="Arial" w:cs="Arial"/>
                <w:color w:val="000000" w:themeColor="text1"/>
                <w:sz w:val="18"/>
                <w:szCs w:val="18"/>
                <w:lang w:val="es-ES_tradnl"/>
              </w:rPr>
              <w:t>,</w:t>
            </w:r>
            <w:r>
              <w:rPr>
                <w:rFonts w:ascii="Arial" w:hAnsi="Arial" w:cs="Arial"/>
                <w:color w:val="000000" w:themeColor="text1"/>
                <w:sz w:val="18"/>
                <w:szCs w:val="18"/>
                <w:lang w:val="es-ES_tradnl"/>
              </w:rPr>
              <w:t>1</w:t>
            </w:r>
            <w:r w:rsidRPr="00960CCD">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33A76862" w14:textId="4E5B9442" w:rsidR="003C3A40" w:rsidRDefault="003C3A40" w:rsidP="003C3A40">
            <w:pPr>
              <w:jc w:val="center"/>
              <w:rPr>
                <w:rFonts w:ascii="Arial" w:hAnsi="Arial" w:cs="Arial"/>
                <w:color w:val="000000"/>
                <w:sz w:val="18"/>
                <w:szCs w:val="18"/>
              </w:rPr>
            </w:pPr>
            <w:r w:rsidRPr="00960CCD">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noWrap/>
            <w:vAlign w:val="center"/>
            <w:hideMark/>
          </w:tcPr>
          <w:p w14:paraId="385C3951" w14:textId="5F912D24" w:rsidR="003C3A40" w:rsidRDefault="003C3A40" w:rsidP="003C3A40">
            <w:pPr>
              <w:jc w:val="center"/>
              <w:rPr>
                <w:rFonts w:ascii="Arial" w:hAnsi="Arial" w:cs="Arial"/>
                <w:color w:val="000000"/>
                <w:sz w:val="18"/>
                <w:szCs w:val="18"/>
              </w:rPr>
            </w:pPr>
            <w:r w:rsidRPr="00960CCD">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w:t>
            </w:r>
            <w:r w:rsidRPr="00960CCD">
              <w:rPr>
                <w:rFonts w:ascii="Arial" w:hAnsi="Arial" w:cs="Arial"/>
                <w:color w:val="000000" w:themeColor="text1"/>
                <w:sz w:val="18"/>
                <w:szCs w:val="18"/>
                <w:lang w:val="es-ES_tradnl"/>
              </w:rPr>
              <w:t xml:space="preserve"> </w:t>
            </w:r>
            <w:r>
              <w:rPr>
                <w:rFonts w:ascii="Arial" w:hAnsi="Arial" w:cs="Arial"/>
                <w:color w:val="000000" w:themeColor="text1"/>
                <w:sz w:val="18"/>
                <w:szCs w:val="18"/>
                <w:lang w:val="es-ES_tradnl"/>
              </w:rPr>
              <w:t>4</w:t>
            </w:r>
            <w:r w:rsidRPr="00960CCD">
              <w:rPr>
                <w:rFonts w:ascii="Arial" w:hAnsi="Arial" w:cs="Arial"/>
                <w:color w:val="000000" w:themeColor="text1"/>
                <w:sz w:val="18"/>
                <w:szCs w:val="18"/>
                <w:lang w:val="es-ES_tradnl"/>
              </w:rPr>
              <w:t>,</w:t>
            </w:r>
            <w:r>
              <w:rPr>
                <w:rFonts w:ascii="Arial" w:hAnsi="Arial" w:cs="Arial"/>
                <w:color w:val="000000" w:themeColor="text1"/>
                <w:sz w:val="18"/>
                <w:szCs w:val="18"/>
                <w:lang w:val="es-ES_tradnl"/>
              </w:rPr>
              <w:t>1</w:t>
            </w:r>
            <w:r w:rsidRPr="00960CCD">
              <w:rPr>
                <w:rFonts w:ascii="Arial" w:hAnsi="Arial" w:cs="Arial"/>
                <w:color w:val="000000" w:themeColor="text1"/>
                <w:sz w:val="18"/>
                <w:szCs w:val="18"/>
                <w:lang w:val="es-ES_tradnl"/>
              </w:rPr>
              <w:t>%</w:t>
            </w:r>
          </w:p>
        </w:tc>
      </w:tr>
      <w:tr w:rsidR="00182C2B" w14:paraId="1CDF9642" w14:textId="77777777" w:rsidTr="06457A15">
        <w:trPr>
          <w:trHeight w:val="930"/>
        </w:trPr>
        <w:tc>
          <w:tcPr>
            <w:tcW w:w="1134" w:type="dxa"/>
            <w:vMerge/>
            <w:vAlign w:val="center"/>
            <w:hideMark/>
          </w:tcPr>
          <w:p w14:paraId="022EBACF" w14:textId="77777777" w:rsidR="00182C2B" w:rsidRDefault="00182C2B" w:rsidP="00182C2B">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55C13984" w14:textId="77777777" w:rsidR="00182C2B" w:rsidRDefault="00182C2B" w:rsidP="00182C2B">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1400" w:type="dxa"/>
            <w:tcBorders>
              <w:top w:val="nil"/>
              <w:left w:val="nil"/>
              <w:bottom w:val="single" w:sz="8" w:space="0" w:color="auto"/>
              <w:right w:val="nil"/>
            </w:tcBorders>
            <w:shd w:val="clear" w:color="auto" w:fill="FFFFFF" w:themeFill="background1"/>
            <w:noWrap/>
            <w:vAlign w:val="center"/>
            <w:hideMark/>
          </w:tcPr>
          <w:p w14:paraId="70C85E23" w14:textId="0BC84299" w:rsidR="00182C2B" w:rsidRDefault="00182C2B" w:rsidP="00182C2B">
            <w:pPr>
              <w:jc w:val="center"/>
              <w:rPr>
                <w:rFonts w:ascii="Arial" w:hAnsi="Arial" w:cs="Arial"/>
                <w:color w:val="000000"/>
                <w:sz w:val="18"/>
                <w:szCs w:val="18"/>
              </w:rPr>
            </w:pPr>
            <w:r w:rsidRPr="00EF2E77">
              <w:rPr>
                <w:rFonts w:ascii="Arial" w:hAnsi="Arial" w:cs="Arial"/>
                <w:color w:val="000000" w:themeColor="text1"/>
                <w:sz w:val="18"/>
                <w:szCs w:val="18"/>
              </w:rPr>
              <w:t>IBR – 3,5%</w:t>
            </w:r>
          </w:p>
        </w:tc>
        <w:tc>
          <w:tcPr>
            <w:tcW w:w="1275" w:type="dxa"/>
            <w:tcBorders>
              <w:top w:val="nil"/>
              <w:left w:val="nil"/>
              <w:bottom w:val="single" w:sz="8" w:space="0" w:color="auto"/>
              <w:right w:val="nil"/>
            </w:tcBorders>
            <w:shd w:val="clear" w:color="auto" w:fill="FFFFFF" w:themeFill="background1"/>
            <w:noWrap/>
            <w:vAlign w:val="center"/>
            <w:hideMark/>
          </w:tcPr>
          <w:p w14:paraId="51D045BF" w14:textId="178903E0" w:rsidR="00182C2B" w:rsidRDefault="00182C2B" w:rsidP="00182C2B">
            <w:pPr>
              <w:jc w:val="center"/>
              <w:rPr>
                <w:rFonts w:ascii="Arial" w:hAnsi="Arial" w:cs="Arial"/>
                <w:color w:val="000000"/>
                <w:sz w:val="18"/>
                <w:szCs w:val="18"/>
              </w:rPr>
            </w:pPr>
            <w:r>
              <w:rPr>
                <w:rFonts w:ascii="Arial" w:hAnsi="Arial" w:cs="Arial"/>
                <w:color w:val="000000" w:themeColor="text1"/>
                <w:sz w:val="18"/>
                <w:szCs w:val="18"/>
              </w:rPr>
              <w:t>8,9</w:t>
            </w:r>
            <w:r w:rsidRPr="00EF2E77">
              <w:rPr>
                <w:rFonts w:ascii="Arial" w:hAnsi="Arial" w:cs="Arial"/>
                <w:color w:val="000000" w:themeColor="text1"/>
                <w:sz w:val="18"/>
                <w:szCs w:val="18"/>
              </w:rPr>
              <w:t>% e.a.</w:t>
            </w:r>
          </w:p>
        </w:tc>
        <w:tc>
          <w:tcPr>
            <w:tcW w:w="1843" w:type="dxa"/>
            <w:tcBorders>
              <w:top w:val="nil"/>
              <w:left w:val="nil"/>
              <w:bottom w:val="single" w:sz="8" w:space="0" w:color="auto"/>
              <w:right w:val="nil"/>
            </w:tcBorders>
            <w:shd w:val="clear" w:color="auto" w:fill="FFFFFF" w:themeFill="background1"/>
            <w:noWrap/>
            <w:vAlign w:val="center"/>
            <w:hideMark/>
          </w:tcPr>
          <w:p w14:paraId="3E1092EB" w14:textId="3876E504" w:rsidR="00182C2B" w:rsidRDefault="00182C2B" w:rsidP="00182C2B">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w:t>
            </w:r>
            <w:r>
              <w:rPr>
                <w:rFonts w:ascii="Arial" w:hAnsi="Arial" w:cs="Arial"/>
                <w:color w:val="000000" w:themeColor="text1"/>
                <w:sz w:val="18"/>
                <w:szCs w:val="18"/>
                <w:lang w:val="es-ES_tradnl"/>
              </w:rPr>
              <w:t>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1CE115BE" w14:textId="616CD179" w:rsidR="00182C2B" w:rsidRDefault="00182C2B" w:rsidP="00182C2B">
            <w:pPr>
              <w:jc w:val="center"/>
              <w:rPr>
                <w:rFonts w:ascii="Arial" w:hAnsi="Arial" w:cs="Arial"/>
                <w:color w:val="000000"/>
                <w:sz w:val="18"/>
                <w:szCs w:val="18"/>
              </w:rPr>
            </w:pPr>
            <w:r w:rsidRPr="00EF2E77">
              <w:rPr>
                <w:rFonts w:ascii="Arial" w:hAnsi="Arial" w:cs="Arial"/>
                <w:color w:val="000000" w:themeColor="text1"/>
                <w:sz w:val="18"/>
                <w:szCs w:val="18"/>
              </w:rPr>
              <w:t>1% e.a.</w:t>
            </w:r>
          </w:p>
        </w:tc>
        <w:tc>
          <w:tcPr>
            <w:tcW w:w="1134" w:type="dxa"/>
            <w:tcBorders>
              <w:top w:val="nil"/>
              <w:left w:val="nil"/>
              <w:bottom w:val="single" w:sz="8" w:space="0" w:color="auto"/>
              <w:right w:val="nil"/>
            </w:tcBorders>
            <w:shd w:val="clear" w:color="auto" w:fill="FFFFFF" w:themeFill="background1"/>
            <w:vAlign w:val="center"/>
            <w:hideMark/>
          </w:tcPr>
          <w:p w14:paraId="020BE1BC" w14:textId="56374011" w:rsidR="00182C2B" w:rsidRDefault="00182C2B" w:rsidP="00182C2B">
            <w:pPr>
              <w:jc w:val="center"/>
              <w:rPr>
                <w:rFonts w:ascii="Arial" w:hAnsi="Arial" w:cs="Arial"/>
                <w:color w:val="000000"/>
                <w:sz w:val="18"/>
                <w:szCs w:val="18"/>
              </w:rPr>
            </w:pPr>
            <w:r w:rsidRPr="00EF2E77">
              <w:rPr>
                <w:rFonts w:ascii="Arial" w:hAnsi="Arial" w:cs="Arial"/>
                <w:color w:val="000000" w:themeColor="text1"/>
                <w:sz w:val="18"/>
                <w:szCs w:val="18"/>
                <w:lang w:val="es-ES_tradnl"/>
              </w:rPr>
              <w:t>IBR</w:t>
            </w:r>
            <w:r>
              <w:rPr>
                <w:rFonts w:ascii="Arial" w:hAnsi="Arial" w:cs="Arial"/>
                <w:color w:val="000000" w:themeColor="text1"/>
                <w:sz w:val="18"/>
                <w:szCs w:val="18"/>
                <w:lang w:val="es-ES_tradnl"/>
              </w:rPr>
              <w:t xml:space="preserve"> – 7%</w:t>
            </w:r>
          </w:p>
        </w:tc>
      </w:tr>
      <w:tr w:rsidR="0048399B" w14:paraId="136BD3E7" w14:textId="77777777" w:rsidTr="06457A15">
        <w:trPr>
          <w:trHeight w:val="240"/>
        </w:trPr>
        <w:tc>
          <w:tcPr>
            <w:tcW w:w="1134" w:type="dxa"/>
            <w:vMerge/>
            <w:vAlign w:val="center"/>
            <w:hideMark/>
          </w:tcPr>
          <w:p w14:paraId="489414DB" w14:textId="77777777" w:rsidR="0048399B" w:rsidRDefault="0048399B" w:rsidP="0048399B">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73F0ECD9" w14:textId="77777777" w:rsidR="0048399B" w:rsidRDefault="0048399B" w:rsidP="0048399B">
            <w:pPr>
              <w:rPr>
                <w:rFonts w:ascii="Arial" w:hAnsi="Arial" w:cs="Arial"/>
                <w:color w:val="000000"/>
                <w:sz w:val="18"/>
                <w:szCs w:val="18"/>
              </w:rPr>
            </w:pPr>
            <w:r>
              <w:rPr>
                <w:rFonts w:ascii="Arial" w:hAnsi="Arial" w:cs="Arial"/>
                <w:color w:val="000000"/>
                <w:sz w:val="18"/>
                <w:szCs w:val="18"/>
              </w:rPr>
              <w:t>Esquema asociativo simplificado</w:t>
            </w:r>
          </w:p>
        </w:tc>
        <w:tc>
          <w:tcPr>
            <w:tcW w:w="1400" w:type="dxa"/>
            <w:tcBorders>
              <w:top w:val="nil"/>
              <w:left w:val="nil"/>
              <w:bottom w:val="single" w:sz="8" w:space="0" w:color="auto"/>
              <w:right w:val="nil"/>
            </w:tcBorders>
            <w:shd w:val="clear" w:color="auto" w:fill="FFFFFF" w:themeFill="background1"/>
            <w:noWrap/>
            <w:vAlign w:val="center"/>
            <w:hideMark/>
          </w:tcPr>
          <w:p w14:paraId="7CBB321F" w14:textId="40B3EE65" w:rsidR="0048399B" w:rsidRDefault="0048399B" w:rsidP="0048399B">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347EC1AE" w14:textId="520B98F0" w:rsidR="0048399B" w:rsidRDefault="0048399B" w:rsidP="0048399B">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843" w:type="dxa"/>
            <w:tcBorders>
              <w:top w:val="nil"/>
              <w:left w:val="nil"/>
              <w:bottom w:val="single" w:sz="8" w:space="0" w:color="auto"/>
              <w:right w:val="nil"/>
            </w:tcBorders>
            <w:shd w:val="clear" w:color="auto" w:fill="FFFFFF" w:themeFill="background1"/>
            <w:noWrap/>
            <w:vAlign w:val="center"/>
            <w:hideMark/>
          </w:tcPr>
          <w:p w14:paraId="7DD8F1C5" w14:textId="204CBEBF" w:rsidR="0048399B" w:rsidRDefault="0048399B" w:rsidP="0048399B">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06C0104D" w14:textId="65E339EA" w:rsidR="0048399B" w:rsidRDefault="0048399B" w:rsidP="0048399B">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113E05A9" w14:textId="64182819" w:rsidR="0048399B" w:rsidRDefault="0048399B" w:rsidP="0048399B">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CE1DE1" w14:paraId="254D1C63" w14:textId="77777777" w:rsidTr="06457A15">
        <w:trPr>
          <w:trHeight w:val="240"/>
        </w:trPr>
        <w:tc>
          <w:tcPr>
            <w:tcW w:w="1134" w:type="dxa"/>
            <w:vMerge/>
            <w:vAlign w:val="center"/>
            <w:hideMark/>
          </w:tcPr>
          <w:p w14:paraId="2AACFE8A" w14:textId="77777777" w:rsidR="00CE1DE1" w:rsidRDefault="00CE1DE1" w:rsidP="00CE1DE1">
            <w:pPr>
              <w:rPr>
                <w:rFonts w:ascii="Arial" w:hAnsi="Arial" w:cs="Arial"/>
                <w:color w:val="000000"/>
                <w:sz w:val="18"/>
                <w:szCs w:val="18"/>
              </w:rPr>
            </w:pPr>
          </w:p>
        </w:tc>
        <w:tc>
          <w:tcPr>
            <w:tcW w:w="1294" w:type="dxa"/>
            <w:tcBorders>
              <w:top w:val="nil"/>
              <w:left w:val="nil"/>
              <w:bottom w:val="single" w:sz="8" w:space="0" w:color="auto"/>
              <w:right w:val="nil"/>
            </w:tcBorders>
            <w:shd w:val="clear" w:color="auto" w:fill="FFFFFF" w:themeFill="background1"/>
            <w:vAlign w:val="center"/>
            <w:hideMark/>
          </w:tcPr>
          <w:p w14:paraId="49ADC1C2" w14:textId="77777777" w:rsidR="00CE1DE1" w:rsidRDefault="00CE1DE1" w:rsidP="00CE1DE1">
            <w:pPr>
              <w:rPr>
                <w:rFonts w:ascii="Arial" w:hAnsi="Arial" w:cs="Arial"/>
                <w:color w:val="000000"/>
                <w:sz w:val="18"/>
                <w:szCs w:val="18"/>
              </w:rPr>
            </w:pPr>
            <w:r>
              <w:rPr>
                <w:rFonts w:ascii="Arial" w:hAnsi="Arial" w:cs="Arial"/>
                <w:color w:val="000000"/>
                <w:sz w:val="18"/>
                <w:szCs w:val="18"/>
              </w:rPr>
              <w:t>Esquema integración</w:t>
            </w:r>
          </w:p>
        </w:tc>
        <w:tc>
          <w:tcPr>
            <w:tcW w:w="1400" w:type="dxa"/>
            <w:tcBorders>
              <w:top w:val="nil"/>
              <w:left w:val="nil"/>
              <w:bottom w:val="single" w:sz="8" w:space="0" w:color="auto"/>
              <w:right w:val="nil"/>
            </w:tcBorders>
            <w:shd w:val="clear" w:color="auto" w:fill="FFFFFF" w:themeFill="background1"/>
            <w:noWrap/>
            <w:vAlign w:val="center"/>
            <w:hideMark/>
          </w:tcPr>
          <w:p w14:paraId="29EF1036" w14:textId="6710CA45" w:rsidR="00CE1DE1" w:rsidRDefault="00CE1DE1" w:rsidP="00CE1DE1">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1275" w:type="dxa"/>
            <w:tcBorders>
              <w:top w:val="nil"/>
              <w:left w:val="nil"/>
              <w:bottom w:val="single" w:sz="8" w:space="0" w:color="auto"/>
              <w:right w:val="nil"/>
            </w:tcBorders>
            <w:shd w:val="clear" w:color="auto" w:fill="FFFFFF" w:themeFill="background1"/>
            <w:noWrap/>
            <w:vAlign w:val="center"/>
            <w:hideMark/>
          </w:tcPr>
          <w:p w14:paraId="534DAE33" w14:textId="6D6564EC" w:rsidR="00CE1DE1" w:rsidRDefault="00CE1DE1" w:rsidP="00CE1DE1">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843" w:type="dxa"/>
            <w:tcBorders>
              <w:top w:val="nil"/>
              <w:left w:val="nil"/>
              <w:bottom w:val="single" w:sz="8" w:space="0" w:color="auto"/>
              <w:right w:val="nil"/>
            </w:tcBorders>
            <w:shd w:val="clear" w:color="auto" w:fill="FFFFFF" w:themeFill="background1"/>
            <w:noWrap/>
            <w:vAlign w:val="center"/>
            <w:hideMark/>
          </w:tcPr>
          <w:p w14:paraId="6620B869" w14:textId="0256D4AA" w:rsidR="00CE1DE1" w:rsidRDefault="00CE1DE1" w:rsidP="00CE1DE1">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c>
          <w:tcPr>
            <w:tcW w:w="992" w:type="dxa"/>
            <w:tcBorders>
              <w:top w:val="nil"/>
              <w:left w:val="nil"/>
              <w:bottom w:val="single" w:sz="8" w:space="0" w:color="auto"/>
              <w:right w:val="nil"/>
            </w:tcBorders>
            <w:shd w:val="clear" w:color="auto" w:fill="FFFFFF" w:themeFill="background1"/>
            <w:vAlign w:val="center"/>
            <w:hideMark/>
          </w:tcPr>
          <w:p w14:paraId="104F84D7" w14:textId="3E3BC904" w:rsidR="00CE1DE1" w:rsidRDefault="00CE1DE1" w:rsidP="00CE1DE1">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p>
        </w:tc>
        <w:tc>
          <w:tcPr>
            <w:tcW w:w="1134" w:type="dxa"/>
            <w:tcBorders>
              <w:top w:val="nil"/>
              <w:left w:val="nil"/>
              <w:bottom w:val="single" w:sz="8" w:space="0" w:color="auto"/>
              <w:right w:val="nil"/>
            </w:tcBorders>
            <w:shd w:val="clear" w:color="auto" w:fill="FFFFFF" w:themeFill="background1"/>
            <w:vAlign w:val="center"/>
            <w:hideMark/>
          </w:tcPr>
          <w:p w14:paraId="55A7E6C6" w14:textId="656E2666" w:rsidR="00CE1DE1" w:rsidRDefault="00CE1DE1" w:rsidP="00CE1DE1">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19130F" w14:paraId="298E14FA" w14:textId="77777777" w:rsidTr="06457A15">
        <w:trPr>
          <w:trHeight w:val="250"/>
        </w:trPr>
        <w:tc>
          <w:tcPr>
            <w:tcW w:w="9072" w:type="dxa"/>
            <w:gridSpan w:val="7"/>
            <w:tcBorders>
              <w:top w:val="single" w:sz="8" w:space="0" w:color="auto"/>
              <w:left w:val="nil"/>
              <w:bottom w:val="nil"/>
              <w:right w:val="nil"/>
            </w:tcBorders>
            <w:shd w:val="clear" w:color="auto" w:fill="auto"/>
            <w:vAlign w:val="center"/>
            <w:hideMark/>
          </w:tcPr>
          <w:p w14:paraId="1A46CF5E" w14:textId="77777777" w:rsidR="0019130F" w:rsidRPr="00C77838" w:rsidRDefault="0019130F" w:rsidP="009137D3">
            <w:pPr>
              <w:rPr>
                <w:rFonts w:ascii="Arial" w:hAnsi="Arial" w:cs="Arial"/>
                <w:color w:val="000000"/>
                <w:sz w:val="16"/>
                <w:szCs w:val="16"/>
              </w:rPr>
            </w:pPr>
            <w:r w:rsidRPr="00C77838">
              <w:rPr>
                <w:rFonts w:ascii="Arial" w:hAnsi="Arial" w:cs="Arial"/>
                <w:color w:val="000000"/>
                <w:sz w:val="16"/>
                <w:szCs w:val="16"/>
              </w:rPr>
              <w:t>*IBR y spread en términos nominales</w:t>
            </w:r>
          </w:p>
        </w:tc>
      </w:tr>
      <w:tr w:rsidR="0019130F" w14:paraId="649674F6" w14:textId="77777777" w:rsidTr="06457A15">
        <w:trPr>
          <w:trHeight w:val="250"/>
        </w:trPr>
        <w:tc>
          <w:tcPr>
            <w:tcW w:w="9072" w:type="dxa"/>
            <w:gridSpan w:val="7"/>
            <w:tcBorders>
              <w:top w:val="nil"/>
              <w:left w:val="nil"/>
              <w:bottom w:val="nil"/>
              <w:right w:val="nil"/>
            </w:tcBorders>
            <w:shd w:val="clear" w:color="auto" w:fill="auto"/>
            <w:vAlign w:val="center"/>
            <w:hideMark/>
          </w:tcPr>
          <w:p w14:paraId="4AC78DC4" w14:textId="77777777" w:rsidR="0019130F" w:rsidRPr="00C77838" w:rsidRDefault="0019130F" w:rsidP="009137D3">
            <w:pPr>
              <w:rPr>
                <w:rFonts w:ascii="Arial" w:hAnsi="Arial" w:cs="Arial"/>
                <w:color w:val="000000"/>
                <w:sz w:val="16"/>
                <w:szCs w:val="16"/>
              </w:rPr>
            </w:pPr>
            <w:r w:rsidRPr="00C77838">
              <w:rPr>
                <w:rFonts w:ascii="Arial" w:hAnsi="Arial" w:cs="Arial"/>
                <w:color w:val="000000"/>
                <w:sz w:val="16"/>
                <w:szCs w:val="16"/>
              </w:rPr>
              <w:t>** Subsidio adicional de 1% para los beneficiarios joven rural y comunidad NARP.</w:t>
            </w:r>
          </w:p>
        </w:tc>
      </w:tr>
    </w:tbl>
    <w:p w14:paraId="7B11FC9F" w14:textId="77777777" w:rsidR="0019130F" w:rsidRPr="00CA7F47" w:rsidRDefault="0019130F" w:rsidP="0019130F">
      <w:pPr>
        <w:ind w:left="708" w:firstLine="708"/>
        <w:jc w:val="both"/>
        <w:rPr>
          <w:rFonts w:ascii="Arial" w:hAnsi="Arial" w:cs="Arial"/>
          <w:b/>
          <w:color w:val="000000" w:themeColor="text1"/>
          <w:sz w:val="22"/>
          <w:szCs w:val="22"/>
        </w:rPr>
      </w:pPr>
    </w:p>
    <w:p w14:paraId="58BD906B" w14:textId="0E5AFA6B" w:rsidR="006149AC" w:rsidRPr="002F0A30" w:rsidRDefault="006149AC" w:rsidP="00502FC8">
      <w:pPr>
        <w:pStyle w:val="Prrafodelista"/>
        <w:numPr>
          <w:ilvl w:val="0"/>
          <w:numId w:val="4"/>
        </w:numPr>
        <w:ind w:left="0" w:firstLine="0"/>
        <w:contextualSpacing/>
        <w:jc w:val="both"/>
        <w:rPr>
          <w:rFonts w:ascii="Arial" w:hAnsi="Arial" w:cs="Arial"/>
          <w:sz w:val="22"/>
          <w:szCs w:val="22"/>
        </w:rPr>
      </w:pPr>
      <w:r w:rsidRPr="002F0A30">
        <w:rPr>
          <w:rFonts w:ascii="Arial" w:hAnsi="Arial" w:cs="Arial"/>
          <w:b/>
          <w:bCs/>
          <w:sz w:val="22"/>
          <w:szCs w:val="22"/>
        </w:rPr>
        <w:lastRenderedPageBreak/>
        <w:t>LEC Reactivación Agropecuaria:</w:t>
      </w:r>
      <w:r w:rsidRPr="002F0A30">
        <w:rPr>
          <w:rFonts w:ascii="Arial" w:hAnsi="Arial" w:cs="Arial"/>
          <w:sz w:val="22"/>
          <w:szCs w:val="22"/>
        </w:rPr>
        <w:t xml:space="preserve"> línea especial para la reactivación de las unidades productivas de productores que han sido afectado</w:t>
      </w:r>
      <w:r w:rsidR="00EB0500">
        <w:rPr>
          <w:rFonts w:ascii="Arial" w:hAnsi="Arial" w:cs="Arial"/>
          <w:sz w:val="22"/>
          <w:szCs w:val="22"/>
        </w:rPr>
        <w:t>s</w:t>
      </w:r>
      <w:r w:rsidRPr="002F0A30">
        <w:rPr>
          <w:rFonts w:ascii="Arial" w:hAnsi="Arial" w:cs="Arial"/>
          <w:sz w:val="22"/>
          <w:szCs w:val="22"/>
        </w:rPr>
        <w:t xml:space="preserve"> por situaciones climáticas adversas, catástrofes naturales, caídas sostenidas de sus ingresos, emergencias fitosanitarias o zoosanitarias, crisis económicas generadas por pandemias, y crisis económicas generadas por alteraciones de orden público. </w:t>
      </w:r>
    </w:p>
    <w:p w14:paraId="7B5A4A29" w14:textId="77777777" w:rsidR="006149AC" w:rsidRPr="00FF2A53" w:rsidRDefault="006149AC" w:rsidP="00FF2A53">
      <w:pPr>
        <w:contextualSpacing/>
        <w:jc w:val="both"/>
        <w:rPr>
          <w:rFonts w:ascii="Arial" w:hAnsi="Arial" w:cs="Arial"/>
          <w:sz w:val="22"/>
          <w:szCs w:val="22"/>
        </w:rPr>
      </w:pPr>
    </w:p>
    <w:p w14:paraId="51DC1050" w14:textId="77777777" w:rsidR="006149AC" w:rsidRPr="00502FC8" w:rsidRDefault="006149AC" w:rsidP="00502FC8">
      <w:pPr>
        <w:pStyle w:val="Prrafodelista"/>
        <w:numPr>
          <w:ilvl w:val="0"/>
          <w:numId w:val="22"/>
        </w:numPr>
        <w:contextualSpacing/>
        <w:jc w:val="both"/>
        <w:rPr>
          <w:rFonts w:ascii="Arial" w:hAnsi="Arial" w:cs="Arial"/>
          <w:sz w:val="22"/>
          <w:szCs w:val="22"/>
        </w:rPr>
      </w:pPr>
      <w:r w:rsidRPr="00502FC8">
        <w:rPr>
          <w:rFonts w:ascii="Arial" w:hAnsi="Arial" w:cs="Arial"/>
          <w:b/>
          <w:bCs/>
          <w:sz w:val="22"/>
          <w:szCs w:val="22"/>
        </w:rPr>
        <w:t>Requisito Especial.</w:t>
      </w:r>
      <w:r w:rsidRPr="00502FC8">
        <w:rPr>
          <w:rFonts w:ascii="Arial" w:hAnsi="Arial" w:cs="Arial"/>
          <w:sz w:val="22"/>
          <w:szCs w:val="22"/>
        </w:rPr>
        <w:t xml:space="preserve"> Para el acceso a la presente línea será necesaria la calificación por parte del MADR de la ocurrencia de alguno de los siguientes eventos:</w:t>
      </w:r>
    </w:p>
    <w:p w14:paraId="026AAC00" w14:textId="77777777" w:rsidR="006149AC" w:rsidRPr="006149AC" w:rsidRDefault="006149AC" w:rsidP="00681F04">
      <w:pPr>
        <w:pStyle w:val="Prrafodelista"/>
        <w:ind w:left="720"/>
        <w:contextualSpacing/>
        <w:jc w:val="both"/>
        <w:rPr>
          <w:rFonts w:ascii="Arial" w:hAnsi="Arial" w:cs="Arial"/>
          <w:sz w:val="22"/>
          <w:szCs w:val="22"/>
        </w:rPr>
      </w:pPr>
    </w:p>
    <w:p w14:paraId="116970B8" w14:textId="77777777" w:rsidR="00E44298" w:rsidRDefault="006149AC" w:rsidP="00804279">
      <w:pPr>
        <w:pStyle w:val="Prrafodelista"/>
        <w:numPr>
          <w:ilvl w:val="0"/>
          <w:numId w:val="23"/>
        </w:numPr>
        <w:ind w:left="1068"/>
        <w:contextualSpacing/>
        <w:jc w:val="both"/>
        <w:rPr>
          <w:rFonts w:ascii="Arial" w:hAnsi="Arial" w:cs="Arial"/>
          <w:sz w:val="22"/>
          <w:szCs w:val="22"/>
        </w:rPr>
      </w:pPr>
      <w:r w:rsidRPr="00681F04">
        <w:rPr>
          <w:rFonts w:ascii="Arial" w:hAnsi="Arial" w:cs="Arial"/>
          <w:sz w:val="22"/>
          <w:szCs w:val="22"/>
        </w:rPr>
        <w:t>Una situación de tipo extremo climatológico o una catástrofe natural que dé lugar a pérdidas masivas de la producción.</w:t>
      </w:r>
    </w:p>
    <w:p w14:paraId="1AC0478C" w14:textId="77777777" w:rsidR="00131BD0" w:rsidRDefault="00131BD0" w:rsidP="00804279">
      <w:pPr>
        <w:pStyle w:val="Prrafodelista"/>
        <w:ind w:left="1068"/>
        <w:contextualSpacing/>
        <w:jc w:val="both"/>
        <w:rPr>
          <w:rFonts w:ascii="Arial" w:hAnsi="Arial" w:cs="Arial"/>
          <w:sz w:val="22"/>
          <w:szCs w:val="22"/>
        </w:rPr>
      </w:pPr>
    </w:p>
    <w:p w14:paraId="0C87B382" w14:textId="77777777" w:rsidR="004A1D35" w:rsidRDefault="006149AC" w:rsidP="00804279">
      <w:pPr>
        <w:pStyle w:val="Prrafodelista"/>
        <w:numPr>
          <w:ilvl w:val="0"/>
          <w:numId w:val="23"/>
        </w:numPr>
        <w:ind w:left="1068"/>
        <w:contextualSpacing/>
        <w:jc w:val="both"/>
        <w:rPr>
          <w:rFonts w:ascii="Arial" w:hAnsi="Arial" w:cs="Arial"/>
          <w:sz w:val="22"/>
          <w:szCs w:val="22"/>
        </w:rPr>
      </w:pPr>
      <w:r w:rsidRPr="00E44298">
        <w:rPr>
          <w:rFonts w:ascii="Arial" w:hAnsi="Arial" w:cs="Arial"/>
          <w:sz w:val="22"/>
          <w:szCs w:val="22"/>
        </w:rPr>
        <w:t>Caídas severas y sostenidas de ingresos para los productores, en los términos que reglamente el Gobierno Nacional.</w:t>
      </w:r>
    </w:p>
    <w:p w14:paraId="63AC7400" w14:textId="77777777" w:rsidR="00131BD0" w:rsidRPr="00131BD0" w:rsidRDefault="00131BD0" w:rsidP="00804279">
      <w:pPr>
        <w:ind w:left="348"/>
        <w:contextualSpacing/>
        <w:jc w:val="both"/>
        <w:rPr>
          <w:rFonts w:ascii="Arial" w:hAnsi="Arial" w:cs="Arial"/>
          <w:sz w:val="22"/>
          <w:szCs w:val="22"/>
        </w:rPr>
      </w:pPr>
    </w:p>
    <w:p w14:paraId="79805B43" w14:textId="77777777" w:rsidR="00996A2D" w:rsidRDefault="006149AC" w:rsidP="00804279">
      <w:pPr>
        <w:pStyle w:val="Prrafodelista"/>
        <w:numPr>
          <w:ilvl w:val="0"/>
          <w:numId w:val="23"/>
        </w:numPr>
        <w:ind w:left="1068"/>
        <w:contextualSpacing/>
        <w:jc w:val="both"/>
        <w:rPr>
          <w:rFonts w:ascii="Arial" w:hAnsi="Arial" w:cs="Arial"/>
          <w:sz w:val="22"/>
          <w:szCs w:val="22"/>
        </w:rPr>
      </w:pPr>
      <w:r w:rsidRPr="004A1D35">
        <w:rPr>
          <w:rFonts w:ascii="Arial" w:hAnsi="Arial" w:cs="Arial"/>
          <w:sz w:val="22"/>
          <w:szCs w:val="22"/>
        </w:rPr>
        <w:t>Notorias alteraciones del orden público que afecten gravemente la producción o la comercialización de las actividades agrícolas, pecuarias, piscícolas, apícolas, avícolas, forestales, acuícolas, zoocría y pesqueras.</w:t>
      </w:r>
    </w:p>
    <w:p w14:paraId="476BD20E" w14:textId="77777777" w:rsidR="00131BD0" w:rsidRPr="00131BD0" w:rsidRDefault="00131BD0" w:rsidP="00804279">
      <w:pPr>
        <w:ind w:left="348"/>
        <w:contextualSpacing/>
        <w:jc w:val="both"/>
        <w:rPr>
          <w:rFonts w:ascii="Arial" w:hAnsi="Arial" w:cs="Arial"/>
          <w:sz w:val="22"/>
          <w:szCs w:val="22"/>
        </w:rPr>
      </w:pPr>
    </w:p>
    <w:p w14:paraId="53E4343F" w14:textId="77777777" w:rsidR="00996A2D" w:rsidRDefault="006149AC" w:rsidP="00804279">
      <w:pPr>
        <w:pStyle w:val="Prrafodelista"/>
        <w:numPr>
          <w:ilvl w:val="0"/>
          <w:numId w:val="23"/>
        </w:numPr>
        <w:ind w:left="1068"/>
        <w:contextualSpacing/>
        <w:jc w:val="both"/>
        <w:rPr>
          <w:rFonts w:ascii="Arial" w:hAnsi="Arial" w:cs="Arial"/>
          <w:sz w:val="22"/>
          <w:szCs w:val="22"/>
        </w:rPr>
      </w:pPr>
      <w:r w:rsidRPr="00996A2D">
        <w:rPr>
          <w:rFonts w:ascii="Arial" w:hAnsi="Arial" w:cs="Arial"/>
          <w:sz w:val="22"/>
          <w:szCs w:val="22"/>
        </w:rPr>
        <w:t xml:space="preserve">Zonas estratégicas para las autoridades nacionales por sus condiciones socioeconómicas. </w:t>
      </w:r>
    </w:p>
    <w:p w14:paraId="3318A573" w14:textId="77777777" w:rsidR="00131BD0" w:rsidRPr="00131BD0" w:rsidRDefault="00131BD0" w:rsidP="00804279">
      <w:pPr>
        <w:ind w:left="348"/>
        <w:contextualSpacing/>
        <w:jc w:val="both"/>
        <w:rPr>
          <w:rFonts w:ascii="Arial" w:hAnsi="Arial" w:cs="Arial"/>
          <w:sz w:val="22"/>
          <w:szCs w:val="22"/>
        </w:rPr>
      </w:pPr>
    </w:p>
    <w:p w14:paraId="42743EC2" w14:textId="77777777" w:rsidR="00131BD0" w:rsidRDefault="006149AC" w:rsidP="00804279">
      <w:pPr>
        <w:pStyle w:val="Prrafodelista"/>
        <w:numPr>
          <w:ilvl w:val="0"/>
          <w:numId w:val="23"/>
        </w:numPr>
        <w:ind w:left="1068"/>
        <w:contextualSpacing/>
        <w:jc w:val="both"/>
        <w:rPr>
          <w:rFonts w:ascii="Arial" w:hAnsi="Arial" w:cs="Arial"/>
          <w:sz w:val="22"/>
          <w:szCs w:val="22"/>
        </w:rPr>
      </w:pPr>
      <w:r w:rsidRPr="00996A2D">
        <w:rPr>
          <w:rFonts w:ascii="Arial" w:hAnsi="Arial" w:cs="Arial"/>
          <w:sz w:val="22"/>
          <w:szCs w:val="22"/>
        </w:rPr>
        <w:t>Emergencia de tipo fitosanitaria y zoosanitaria de impacto regional o nacional definido por el MADR.</w:t>
      </w:r>
    </w:p>
    <w:p w14:paraId="00987325" w14:textId="77777777" w:rsidR="00131BD0" w:rsidRPr="00131BD0" w:rsidRDefault="00131BD0" w:rsidP="00804279">
      <w:pPr>
        <w:pStyle w:val="Prrafodelista"/>
        <w:ind w:left="1056"/>
        <w:rPr>
          <w:rFonts w:ascii="Arial" w:hAnsi="Arial" w:cs="Arial"/>
          <w:sz w:val="22"/>
          <w:szCs w:val="22"/>
        </w:rPr>
      </w:pPr>
    </w:p>
    <w:p w14:paraId="7FE8FD4B" w14:textId="40FD6831" w:rsidR="006149AC" w:rsidRPr="00131BD0" w:rsidRDefault="006149AC" w:rsidP="00804279">
      <w:pPr>
        <w:pStyle w:val="Prrafodelista"/>
        <w:numPr>
          <w:ilvl w:val="0"/>
          <w:numId w:val="23"/>
        </w:numPr>
        <w:ind w:left="1068"/>
        <w:contextualSpacing/>
        <w:jc w:val="both"/>
        <w:rPr>
          <w:rFonts w:ascii="Arial" w:hAnsi="Arial" w:cs="Arial"/>
          <w:sz w:val="22"/>
          <w:szCs w:val="22"/>
        </w:rPr>
      </w:pPr>
      <w:r w:rsidRPr="00131BD0">
        <w:rPr>
          <w:rFonts w:ascii="Arial" w:hAnsi="Arial" w:cs="Arial"/>
          <w:sz w:val="22"/>
          <w:szCs w:val="22"/>
        </w:rPr>
        <w:t xml:space="preserve">Afectación de </w:t>
      </w:r>
      <w:r w:rsidR="00C3422C">
        <w:rPr>
          <w:rFonts w:ascii="Arial" w:hAnsi="Arial" w:cs="Arial"/>
          <w:sz w:val="22"/>
          <w:szCs w:val="22"/>
        </w:rPr>
        <w:t xml:space="preserve">la capacidad de pago de los productores como consecuencia del aumento sostenido de la tasa de interés </w:t>
      </w:r>
    </w:p>
    <w:p w14:paraId="284A3057" w14:textId="77777777" w:rsidR="006149AC" w:rsidRPr="006149AC" w:rsidRDefault="006149AC" w:rsidP="00F768D1">
      <w:pPr>
        <w:pStyle w:val="Prrafodelista"/>
        <w:ind w:left="720"/>
        <w:contextualSpacing/>
        <w:jc w:val="both"/>
        <w:rPr>
          <w:rFonts w:ascii="Arial" w:hAnsi="Arial" w:cs="Arial"/>
          <w:sz w:val="22"/>
          <w:szCs w:val="22"/>
        </w:rPr>
      </w:pPr>
    </w:p>
    <w:p w14:paraId="412D4A74" w14:textId="77777777" w:rsidR="006149AC" w:rsidRPr="009F2057" w:rsidRDefault="006149AC" w:rsidP="00FF24E8">
      <w:pPr>
        <w:ind w:left="284"/>
        <w:contextualSpacing/>
        <w:jc w:val="both"/>
        <w:rPr>
          <w:rFonts w:ascii="Arial" w:hAnsi="Arial" w:cs="Arial"/>
          <w:sz w:val="22"/>
          <w:szCs w:val="22"/>
        </w:rPr>
      </w:pPr>
      <w:r w:rsidRPr="009F2057">
        <w:rPr>
          <w:rFonts w:ascii="Arial" w:hAnsi="Arial" w:cs="Arial"/>
          <w:sz w:val="22"/>
          <w:szCs w:val="22"/>
        </w:rPr>
        <w:t xml:space="preserve">El MADR determinará la ocurrencia de los eventos y para ello validará el reporte de información de afectaciones suministrada por autoridades departamentales y nacionales. </w:t>
      </w:r>
    </w:p>
    <w:p w14:paraId="018E1D9C" w14:textId="77777777" w:rsidR="006149AC" w:rsidRPr="006149AC" w:rsidRDefault="006149AC" w:rsidP="00FF24E8">
      <w:pPr>
        <w:pStyle w:val="Prrafodelista"/>
        <w:ind w:left="284"/>
        <w:contextualSpacing/>
        <w:jc w:val="both"/>
        <w:rPr>
          <w:rFonts w:ascii="Arial" w:hAnsi="Arial" w:cs="Arial"/>
          <w:sz w:val="22"/>
          <w:szCs w:val="22"/>
        </w:rPr>
      </w:pPr>
    </w:p>
    <w:p w14:paraId="44129881" w14:textId="77777777" w:rsidR="006149AC" w:rsidRPr="007D584F" w:rsidRDefault="006149AC" w:rsidP="00FF24E8">
      <w:pPr>
        <w:ind w:left="284"/>
        <w:contextualSpacing/>
        <w:jc w:val="both"/>
        <w:rPr>
          <w:rFonts w:ascii="Arial" w:hAnsi="Arial" w:cs="Arial"/>
          <w:sz w:val="22"/>
          <w:szCs w:val="22"/>
        </w:rPr>
      </w:pPr>
      <w:r w:rsidRPr="007D584F">
        <w:rPr>
          <w:rFonts w:ascii="Arial" w:hAnsi="Arial" w:cs="Arial"/>
          <w:sz w:val="22"/>
          <w:szCs w:val="22"/>
        </w:rPr>
        <w:t>De igual manera, el MADR actuará con base en las declaratorias de emergencia expedidas por autoridades departamentales y nacionales competentes, y de acuerdo con la reglamentación del Gobierno Nacional respecto de caídas severas y sostenidas de los ingresos de los productores.</w:t>
      </w:r>
    </w:p>
    <w:p w14:paraId="18715480" w14:textId="77777777" w:rsidR="006149AC" w:rsidRPr="009F3585" w:rsidRDefault="006149AC" w:rsidP="009F3585">
      <w:pPr>
        <w:contextualSpacing/>
        <w:jc w:val="both"/>
        <w:rPr>
          <w:rFonts w:ascii="Arial" w:hAnsi="Arial" w:cs="Arial"/>
          <w:sz w:val="22"/>
          <w:szCs w:val="22"/>
        </w:rPr>
      </w:pPr>
    </w:p>
    <w:p w14:paraId="73C7ADDB" w14:textId="7E8A3CB4" w:rsidR="006149AC" w:rsidRPr="00C13C15" w:rsidRDefault="006149AC" w:rsidP="00C13C15">
      <w:pPr>
        <w:pStyle w:val="Prrafodelista"/>
        <w:numPr>
          <w:ilvl w:val="0"/>
          <w:numId w:val="22"/>
        </w:numPr>
        <w:contextualSpacing/>
        <w:jc w:val="both"/>
        <w:rPr>
          <w:rFonts w:ascii="Arial" w:hAnsi="Arial" w:cs="Arial"/>
          <w:sz w:val="22"/>
          <w:szCs w:val="22"/>
        </w:rPr>
      </w:pPr>
      <w:r w:rsidRPr="00C13C15">
        <w:rPr>
          <w:rFonts w:ascii="Arial" w:hAnsi="Arial" w:cs="Arial"/>
          <w:b/>
          <w:bCs/>
          <w:sz w:val="22"/>
          <w:szCs w:val="22"/>
        </w:rPr>
        <w:t>Actividades financiables.</w:t>
      </w:r>
      <w:r w:rsidRPr="00C13C15">
        <w:rPr>
          <w:rFonts w:ascii="Arial" w:hAnsi="Arial" w:cs="Arial"/>
          <w:sz w:val="22"/>
          <w:szCs w:val="22"/>
        </w:rPr>
        <w:t xml:space="preserve"> Se financiará</w:t>
      </w:r>
      <w:r w:rsidR="00C13C15" w:rsidRPr="00C13C15">
        <w:rPr>
          <w:rFonts w:ascii="Arial" w:hAnsi="Arial" w:cs="Arial"/>
          <w:sz w:val="22"/>
          <w:szCs w:val="22"/>
        </w:rPr>
        <w:t xml:space="preserve"> la normalización de </w:t>
      </w:r>
      <w:r w:rsidR="0004509A" w:rsidRPr="00C13C15">
        <w:rPr>
          <w:rFonts w:ascii="Arial" w:hAnsi="Arial" w:cs="Arial"/>
          <w:sz w:val="22"/>
          <w:szCs w:val="22"/>
        </w:rPr>
        <w:t>créditos agropecuarios</w:t>
      </w:r>
      <w:r w:rsidRPr="00C13C15">
        <w:rPr>
          <w:rFonts w:ascii="Arial" w:hAnsi="Arial" w:cs="Arial"/>
          <w:sz w:val="22"/>
          <w:szCs w:val="22"/>
        </w:rPr>
        <w:t xml:space="preserve"> concedidos dentro del SNCA.</w:t>
      </w:r>
    </w:p>
    <w:p w14:paraId="4E65975B" w14:textId="77777777" w:rsidR="006149AC" w:rsidRPr="006149AC" w:rsidRDefault="006149AC" w:rsidP="00804279">
      <w:pPr>
        <w:pStyle w:val="Prrafodelista"/>
        <w:ind w:left="720"/>
        <w:contextualSpacing/>
        <w:jc w:val="both"/>
        <w:rPr>
          <w:rFonts w:ascii="Arial" w:hAnsi="Arial" w:cs="Arial"/>
          <w:sz w:val="22"/>
          <w:szCs w:val="22"/>
        </w:rPr>
      </w:pPr>
    </w:p>
    <w:p w14:paraId="2A6C4E02" w14:textId="77777777" w:rsidR="006149AC" w:rsidRPr="00804279" w:rsidRDefault="006149AC" w:rsidP="00804279">
      <w:pPr>
        <w:ind w:left="360"/>
        <w:contextualSpacing/>
        <w:jc w:val="both"/>
        <w:rPr>
          <w:rFonts w:ascii="Arial" w:hAnsi="Arial" w:cs="Arial"/>
          <w:sz w:val="22"/>
          <w:szCs w:val="22"/>
        </w:rPr>
      </w:pPr>
      <w:r w:rsidRPr="00804279">
        <w:rPr>
          <w:rFonts w:ascii="Arial" w:hAnsi="Arial" w:cs="Arial"/>
          <w:sz w:val="22"/>
          <w:szCs w:val="22"/>
        </w:rPr>
        <w:t>El MADR determinará, en el marco del contrato de administración con FINAGRO las zonas y plazo para la aplicación de la LEC Reactivación Productiva, conforme a la determinación de la ocurrencia de uno de los eventos descritos en el numeral 1º del presente artículo.</w:t>
      </w:r>
    </w:p>
    <w:p w14:paraId="17F9754D" w14:textId="77777777" w:rsidR="006149AC" w:rsidRPr="006149AC" w:rsidRDefault="006149AC" w:rsidP="00CD3FDA">
      <w:pPr>
        <w:pStyle w:val="Prrafodelista"/>
        <w:ind w:left="720"/>
        <w:contextualSpacing/>
        <w:jc w:val="both"/>
        <w:rPr>
          <w:rFonts w:ascii="Arial" w:hAnsi="Arial" w:cs="Arial"/>
          <w:sz w:val="22"/>
          <w:szCs w:val="22"/>
        </w:rPr>
      </w:pPr>
    </w:p>
    <w:p w14:paraId="5815C4E4" w14:textId="3F32E1CA" w:rsidR="006149AC" w:rsidRPr="00BB1B31" w:rsidRDefault="006149AC" w:rsidP="00BB1B31">
      <w:pPr>
        <w:pStyle w:val="Prrafodelista"/>
        <w:numPr>
          <w:ilvl w:val="0"/>
          <w:numId w:val="22"/>
        </w:numPr>
        <w:contextualSpacing/>
        <w:jc w:val="both"/>
        <w:rPr>
          <w:rFonts w:ascii="Arial" w:hAnsi="Arial" w:cs="Arial"/>
          <w:sz w:val="22"/>
          <w:szCs w:val="22"/>
        </w:rPr>
      </w:pPr>
      <w:r w:rsidRPr="00BB1B31">
        <w:rPr>
          <w:rFonts w:ascii="Arial" w:hAnsi="Arial" w:cs="Arial"/>
          <w:b/>
          <w:bCs/>
          <w:sz w:val="22"/>
          <w:szCs w:val="22"/>
        </w:rPr>
        <w:t>Periodo de reconocimiento del subsidio.</w:t>
      </w:r>
      <w:r w:rsidRPr="00BB1B31">
        <w:rPr>
          <w:rFonts w:ascii="Arial" w:hAnsi="Arial" w:cs="Arial"/>
          <w:sz w:val="22"/>
          <w:szCs w:val="22"/>
        </w:rPr>
        <w:t xml:space="preserve"> El plazo máximo de otorgamiento del subsidio será de hasta cinco (5) años y podrán tener un periodo de gracia de hasta un (1) año. </w:t>
      </w:r>
    </w:p>
    <w:p w14:paraId="562F4853" w14:textId="77777777" w:rsidR="006149AC" w:rsidRPr="006149AC" w:rsidRDefault="006149AC" w:rsidP="00F8536E">
      <w:pPr>
        <w:pStyle w:val="Prrafodelista"/>
        <w:ind w:left="720"/>
        <w:contextualSpacing/>
        <w:jc w:val="both"/>
        <w:rPr>
          <w:rFonts w:ascii="Arial" w:hAnsi="Arial" w:cs="Arial"/>
          <w:sz w:val="22"/>
          <w:szCs w:val="22"/>
        </w:rPr>
      </w:pPr>
    </w:p>
    <w:p w14:paraId="6EF68EC3" w14:textId="77777777" w:rsidR="006149AC" w:rsidRDefault="006149AC" w:rsidP="00732C76">
      <w:pPr>
        <w:pStyle w:val="Prrafodelista"/>
        <w:numPr>
          <w:ilvl w:val="0"/>
          <w:numId w:val="22"/>
        </w:numPr>
        <w:contextualSpacing/>
        <w:jc w:val="both"/>
        <w:rPr>
          <w:rFonts w:ascii="Arial" w:hAnsi="Arial" w:cs="Arial"/>
          <w:sz w:val="22"/>
          <w:szCs w:val="22"/>
        </w:rPr>
      </w:pPr>
      <w:r w:rsidRPr="00732C76">
        <w:rPr>
          <w:rFonts w:ascii="Arial" w:hAnsi="Arial" w:cs="Arial"/>
          <w:b/>
          <w:bCs/>
          <w:sz w:val="22"/>
          <w:szCs w:val="22"/>
        </w:rPr>
        <w:t>Tasa de Redescuento y de Interés al Beneficiario.</w:t>
      </w:r>
      <w:r w:rsidRPr="00732C76">
        <w:rPr>
          <w:rFonts w:ascii="Arial" w:hAnsi="Arial" w:cs="Arial"/>
          <w:sz w:val="22"/>
          <w:szCs w:val="22"/>
        </w:rPr>
        <w:t xml:space="preserve"> Con cargo a los recursos del MADR se establece el siguiente esquema de otorgamiento del subsidio a la tasa final al productor.</w:t>
      </w:r>
    </w:p>
    <w:p w14:paraId="252D0BA5" w14:textId="77777777" w:rsidR="00BB723D" w:rsidRPr="00BB723D" w:rsidRDefault="00BB723D" w:rsidP="00BB723D">
      <w:pPr>
        <w:pStyle w:val="Prrafodelista"/>
        <w:rPr>
          <w:rFonts w:ascii="Arial" w:hAnsi="Arial" w:cs="Arial"/>
          <w:sz w:val="22"/>
          <w:szCs w:val="22"/>
        </w:rPr>
      </w:pPr>
    </w:p>
    <w:p w14:paraId="38A9A23A" w14:textId="77777777" w:rsidR="00302C72" w:rsidRDefault="00302C72" w:rsidP="00302C72">
      <w:pPr>
        <w:pStyle w:val="Prrafodelista"/>
        <w:ind w:left="1068" w:firstLine="348"/>
        <w:jc w:val="both"/>
        <w:outlineLvl w:val="1"/>
        <w:rPr>
          <w:rFonts w:ascii="Arial" w:hAnsi="Arial" w:cs="Arial"/>
          <w:b/>
          <w:color w:val="000000" w:themeColor="text1"/>
          <w:sz w:val="22"/>
          <w:szCs w:val="22"/>
          <w:lang w:val="es-ES_tradnl" w:eastAsia="es-CO"/>
        </w:rPr>
      </w:pPr>
      <w:r w:rsidRPr="002F27F5">
        <w:rPr>
          <w:rFonts w:ascii="Arial" w:hAnsi="Arial" w:cs="Arial"/>
          <w:b/>
          <w:color w:val="000000" w:themeColor="text1"/>
          <w:sz w:val="22"/>
          <w:szCs w:val="22"/>
          <w:lang w:val="es-ES_tradnl" w:eastAsia="es-CO"/>
        </w:rPr>
        <w:t>Condiciones financieras en IBR</w:t>
      </w:r>
      <w:r>
        <w:rPr>
          <w:rFonts w:ascii="Arial" w:hAnsi="Arial" w:cs="Arial"/>
          <w:b/>
          <w:color w:val="000000" w:themeColor="text1"/>
          <w:sz w:val="22"/>
          <w:szCs w:val="22"/>
          <w:lang w:val="es-ES_tradnl" w:eastAsia="es-CO"/>
        </w:rPr>
        <w:t>*</w:t>
      </w:r>
    </w:p>
    <w:tbl>
      <w:tblPr>
        <w:tblW w:w="5000" w:type="pct"/>
        <w:tblCellMar>
          <w:left w:w="70" w:type="dxa"/>
          <w:right w:w="70" w:type="dxa"/>
        </w:tblCellMar>
        <w:tblLook w:val="04A0" w:firstRow="1" w:lastRow="0" w:firstColumn="1" w:lastColumn="0" w:noHBand="0" w:noVBand="1"/>
      </w:tblPr>
      <w:tblGrid>
        <w:gridCol w:w="1752"/>
        <w:gridCol w:w="2689"/>
        <w:gridCol w:w="1271"/>
        <w:gridCol w:w="1274"/>
        <w:gridCol w:w="1852"/>
      </w:tblGrid>
      <w:tr w:rsidR="00302C72" w14:paraId="5F6F8541" w14:textId="77777777" w:rsidTr="73CC8A29">
        <w:trPr>
          <w:trHeight w:val="620"/>
        </w:trPr>
        <w:tc>
          <w:tcPr>
            <w:tcW w:w="991" w:type="pct"/>
            <w:tcBorders>
              <w:top w:val="single" w:sz="8" w:space="0" w:color="auto"/>
              <w:left w:val="nil"/>
              <w:bottom w:val="nil"/>
              <w:right w:val="nil"/>
            </w:tcBorders>
            <w:shd w:val="clear" w:color="auto" w:fill="FFFFFF" w:themeFill="background1"/>
            <w:vAlign w:val="center"/>
            <w:hideMark/>
          </w:tcPr>
          <w:p w14:paraId="5EC16A14" w14:textId="77777777" w:rsidR="00302C72" w:rsidRDefault="00302C72" w:rsidP="009137D3">
            <w:pPr>
              <w:jc w:val="center"/>
              <w:rPr>
                <w:rFonts w:ascii="Arial" w:hAnsi="Arial" w:cs="Arial"/>
                <w:b/>
                <w:bCs/>
                <w:color w:val="000000"/>
                <w:sz w:val="18"/>
                <w:szCs w:val="18"/>
                <w:lang w:eastAsia="es-CO"/>
              </w:rPr>
            </w:pPr>
            <w:r>
              <w:rPr>
                <w:rFonts w:ascii="Arial" w:hAnsi="Arial" w:cs="Arial"/>
                <w:b/>
                <w:bCs/>
                <w:color w:val="000000"/>
                <w:sz w:val="18"/>
                <w:szCs w:val="18"/>
                <w:lang w:val="es-ES_tradnl"/>
              </w:rPr>
              <w:t>Tipo de Productor</w:t>
            </w:r>
          </w:p>
        </w:tc>
        <w:tc>
          <w:tcPr>
            <w:tcW w:w="1521" w:type="pct"/>
            <w:tcBorders>
              <w:top w:val="single" w:sz="8" w:space="0" w:color="auto"/>
              <w:left w:val="nil"/>
              <w:bottom w:val="nil"/>
              <w:right w:val="nil"/>
            </w:tcBorders>
            <w:shd w:val="clear" w:color="auto" w:fill="FFFFFF" w:themeFill="background1"/>
            <w:vAlign w:val="center"/>
            <w:hideMark/>
          </w:tcPr>
          <w:p w14:paraId="3D0F6765" w14:textId="77777777" w:rsidR="00302C72" w:rsidRDefault="00302C72" w:rsidP="009137D3">
            <w:pPr>
              <w:jc w:val="center"/>
              <w:rPr>
                <w:rFonts w:ascii="Arial" w:hAnsi="Arial" w:cs="Arial"/>
                <w:b/>
                <w:bCs/>
                <w:color w:val="000000"/>
                <w:sz w:val="18"/>
                <w:szCs w:val="18"/>
              </w:rPr>
            </w:pPr>
            <w:r>
              <w:rPr>
                <w:rFonts w:ascii="Arial" w:hAnsi="Arial" w:cs="Arial"/>
                <w:b/>
                <w:bCs/>
                <w:color w:val="000000"/>
                <w:sz w:val="18"/>
                <w:szCs w:val="18"/>
                <w:lang w:val="es-ES_tradnl"/>
              </w:rPr>
              <w:t>Beneficiario Especial</w:t>
            </w:r>
          </w:p>
        </w:tc>
        <w:tc>
          <w:tcPr>
            <w:tcW w:w="719" w:type="pct"/>
            <w:tcBorders>
              <w:top w:val="single" w:sz="8" w:space="0" w:color="auto"/>
              <w:left w:val="nil"/>
              <w:bottom w:val="nil"/>
              <w:right w:val="nil"/>
            </w:tcBorders>
            <w:shd w:val="clear" w:color="auto" w:fill="FFFFFF" w:themeFill="background1"/>
            <w:vAlign w:val="center"/>
            <w:hideMark/>
          </w:tcPr>
          <w:p w14:paraId="12FE5746" w14:textId="77777777" w:rsidR="00302C72" w:rsidRDefault="00302C72" w:rsidP="009137D3">
            <w:pPr>
              <w:jc w:val="center"/>
              <w:rPr>
                <w:rFonts w:ascii="Arial" w:hAnsi="Arial" w:cs="Arial"/>
                <w:b/>
                <w:bCs/>
                <w:color w:val="000000"/>
                <w:sz w:val="18"/>
                <w:szCs w:val="18"/>
              </w:rPr>
            </w:pPr>
            <w:r>
              <w:rPr>
                <w:rFonts w:ascii="Arial" w:hAnsi="Arial" w:cs="Arial"/>
                <w:b/>
                <w:bCs/>
                <w:color w:val="000000"/>
                <w:sz w:val="18"/>
                <w:szCs w:val="18"/>
                <w:lang w:val="es-ES_tradnl"/>
              </w:rPr>
              <w:t>Tasa de Redescuento</w:t>
            </w:r>
          </w:p>
        </w:tc>
        <w:tc>
          <w:tcPr>
            <w:tcW w:w="721" w:type="pct"/>
            <w:tcBorders>
              <w:top w:val="single" w:sz="8" w:space="0" w:color="auto"/>
              <w:left w:val="nil"/>
              <w:bottom w:val="nil"/>
              <w:right w:val="nil"/>
            </w:tcBorders>
            <w:shd w:val="clear" w:color="auto" w:fill="FFFFFF" w:themeFill="background1"/>
            <w:noWrap/>
            <w:vAlign w:val="center"/>
            <w:hideMark/>
          </w:tcPr>
          <w:p w14:paraId="0E10BCAE" w14:textId="77777777" w:rsidR="00302C72" w:rsidRDefault="00302C72"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Subsidio</w:t>
            </w:r>
          </w:p>
          <w:p w14:paraId="4266DA24" w14:textId="63A23319" w:rsidR="00A3401C" w:rsidRDefault="00A3401C" w:rsidP="009137D3">
            <w:pPr>
              <w:jc w:val="center"/>
              <w:rPr>
                <w:rFonts w:ascii="Arial" w:hAnsi="Arial" w:cs="Arial"/>
                <w:b/>
                <w:bCs/>
                <w:color w:val="000000"/>
                <w:sz w:val="18"/>
                <w:szCs w:val="18"/>
              </w:rPr>
            </w:pPr>
            <w:r>
              <w:rPr>
                <w:rFonts w:ascii="Arial" w:hAnsi="Arial" w:cs="Arial"/>
                <w:b/>
                <w:bCs/>
                <w:color w:val="000000"/>
                <w:sz w:val="18"/>
                <w:szCs w:val="18"/>
                <w:lang w:val="es-ES_tradnl"/>
              </w:rPr>
              <w:t xml:space="preserve">(Hasta) </w:t>
            </w:r>
          </w:p>
        </w:tc>
        <w:tc>
          <w:tcPr>
            <w:tcW w:w="1048" w:type="pct"/>
            <w:tcBorders>
              <w:top w:val="single" w:sz="8" w:space="0" w:color="auto"/>
              <w:left w:val="nil"/>
              <w:bottom w:val="nil"/>
              <w:right w:val="nil"/>
            </w:tcBorders>
            <w:shd w:val="clear" w:color="auto" w:fill="FFFFFF" w:themeFill="background1"/>
            <w:vAlign w:val="center"/>
            <w:hideMark/>
          </w:tcPr>
          <w:p w14:paraId="0833A724" w14:textId="77777777" w:rsidR="00302C72" w:rsidRDefault="00302C72"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Tasa de Interés con Subsidio</w:t>
            </w:r>
          </w:p>
          <w:p w14:paraId="7ECB7C61" w14:textId="5977F298" w:rsidR="00F17A5D" w:rsidRDefault="00F17A5D"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r>
      <w:tr w:rsidR="0068284D" w14:paraId="45BD91D3" w14:textId="77777777" w:rsidTr="73CC8A29">
        <w:trPr>
          <w:trHeight w:val="1860"/>
        </w:trPr>
        <w:tc>
          <w:tcPr>
            <w:tcW w:w="991" w:type="pct"/>
            <w:vMerge w:val="restart"/>
            <w:tcBorders>
              <w:top w:val="single" w:sz="8" w:space="0" w:color="auto"/>
              <w:left w:val="nil"/>
              <w:bottom w:val="single" w:sz="8" w:space="0" w:color="000000" w:themeColor="text1"/>
              <w:right w:val="nil"/>
            </w:tcBorders>
            <w:shd w:val="clear" w:color="auto" w:fill="FFFFFF" w:themeFill="background1"/>
            <w:vAlign w:val="center"/>
            <w:hideMark/>
          </w:tcPr>
          <w:p w14:paraId="5457FDBB" w14:textId="77777777" w:rsidR="0068284D" w:rsidRDefault="0068284D" w:rsidP="0068284D">
            <w:pPr>
              <w:jc w:val="center"/>
              <w:rPr>
                <w:rFonts w:ascii="Arial" w:hAnsi="Arial" w:cs="Arial"/>
                <w:color w:val="000000"/>
                <w:sz w:val="18"/>
                <w:szCs w:val="18"/>
              </w:rPr>
            </w:pPr>
            <w:r>
              <w:rPr>
                <w:rFonts w:ascii="Arial" w:hAnsi="Arial" w:cs="Arial"/>
                <w:color w:val="000000"/>
                <w:sz w:val="18"/>
                <w:szCs w:val="18"/>
              </w:rPr>
              <w:lastRenderedPageBreak/>
              <w:t>Pequeño Productor de ingresos bajos</w:t>
            </w:r>
          </w:p>
        </w:tc>
        <w:tc>
          <w:tcPr>
            <w:tcW w:w="1521" w:type="pct"/>
            <w:tcBorders>
              <w:top w:val="single" w:sz="8" w:space="0" w:color="auto"/>
              <w:left w:val="nil"/>
              <w:bottom w:val="single" w:sz="8" w:space="0" w:color="auto"/>
              <w:right w:val="nil"/>
            </w:tcBorders>
            <w:shd w:val="clear" w:color="auto" w:fill="FFFFFF" w:themeFill="background1"/>
            <w:vAlign w:val="center"/>
            <w:hideMark/>
          </w:tcPr>
          <w:p w14:paraId="4EADD715" w14:textId="246C0A9C" w:rsidR="0068284D" w:rsidRDefault="213CA46F" w:rsidP="73CC8A29">
            <w:pPr>
              <w:rPr>
                <w:rFonts w:ascii="Arial" w:hAnsi="Arial" w:cs="Arial"/>
                <w:color w:val="000000"/>
                <w:sz w:val="18"/>
                <w:szCs w:val="18"/>
              </w:rPr>
            </w:pPr>
            <w:r w:rsidRPr="73CC8A29">
              <w:rPr>
                <w:rFonts w:ascii="Arial" w:hAnsi="Arial" w:cs="Arial"/>
                <w:color w:val="000000" w:themeColor="text1"/>
                <w:sz w:val="18"/>
                <w:szCs w:val="18"/>
              </w:rPr>
              <w:t>Pequeño de productor de ingresos bajos, Joven rural y Comunidades Negras, Afrocolombianas, Raizales y Palenqueras (NARP), Comunidades indígenas y étnicas</w:t>
            </w:r>
            <w:r w:rsidR="6690D04A" w:rsidRPr="73CC8A29">
              <w:rPr>
                <w:rFonts w:ascii="Arial" w:hAnsi="Arial" w:cs="Arial"/>
                <w:color w:val="000000" w:themeColor="text1"/>
                <w:sz w:val="18"/>
                <w:szCs w:val="18"/>
              </w:rPr>
              <w:t xml:space="preserve"> (incluid</w:t>
            </w:r>
            <w:r w:rsidR="1F4C8635" w:rsidRPr="73CC8A29">
              <w:rPr>
                <w:rFonts w:ascii="Arial" w:hAnsi="Arial" w:cs="Arial"/>
                <w:color w:val="000000" w:themeColor="text1"/>
                <w:sz w:val="18"/>
                <w:szCs w:val="18"/>
              </w:rPr>
              <w:t xml:space="preserve">os los pueblos indígenas de la Guajira y en especial las </w:t>
            </w:r>
            <w:r w:rsidR="005E7528" w:rsidRPr="73CC8A29">
              <w:rPr>
                <w:rFonts w:ascii="Arial" w:hAnsi="Arial" w:cs="Arial"/>
                <w:color w:val="000000" w:themeColor="text1"/>
                <w:sz w:val="18"/>
                <w:szCs w:val="18"/>
              </w:rPr>
              <w:t>comunidades Wayúu</w:t>
            </w:r>
            <w:r w:rsidR="6690D04A" w:rsidRPr="73CC8A29">
              <w:rPr>
                <w:rFonts w:ascii="Arial" w:hAnsi="Arial" w:cs="Arial"/>
                <w:color w:val="000000" w:themeColor="text1"/>
                <w:sz w:val="18"/>
                <w:szCs w:val="18"/>
              </w:rPr>
              <w:t>)</w:t>
            </w:r>
            <w:r w:rsidRPr="73CC8A29">
              <w:rPr>
                <w:rFonts w:ascii="Arial" w:hAnsi="Arial" w:cs="Arial"/>
                <w:color w:val="000000" w:themeColor="text1"/>
                <w:sz w:val="18"/>
                <w:szCs w:val="18"/>
              </w:rPr>
              <w:t>, población con discapacidad, Población LGBTIQ+ OSIGD, Productores en Zonas de Reserva Campesina, Campesino, Población adulto mayor.</w:t>
            </w:r>
          </w:p>
        </w:tc>
        <w:tc>
          <w:tcPr>
            <w:tcW w:w="719" w:type="pct"/>
            <w:tcBorders>
              <w:top w:val="single" w:sz="8" w:space="0" w:color="auto"/>
              <w:left w:val="nil"/>
              <w:bottom w:val="single" w:sz="8" w:space="0" w:color="auto"/>
              <w:right w:val="nil"/>
            </w:tcBorders>
            <w:shd w:val="clear" w:color="auto" w:fill="FFFFFF" w:themeFill="background1"/>
            <w:noWrap/>
            <w:vAlign w:val="center"/>
            <w:hideMark/>
          </w:tcPr>
          <w:p w14:paraId="7E212CE6" w14:textId="1FB55BA4" w:rsidR="0068284D" w:rsidRDefault="0068284D" w:rsidP="0068284D">
            <w:pPr>
              <w:jc w:val="center"/>
              <w:rPr>
                <w:rFonts w:ascii="Arial" w:hAnsi="Arial" w:cs="Arial"/>
                <w:color w:val="000000"/>
                <w:sz w:val="18"/>
                <w:szCs w:val="18"/>
              </w:rPr>
            </w:pPr>
            <w:r>
              <w:rPr>
                <w:rFonts w:ascii="Arial" w:hAnsi="Arial" w:cs="Arial"/>
                <w:color w:val="000000"/>
                <w:sz w:val="18"/>
                <w:szCs w:val="18"/>
              </w:rPr>
              <w:t>IBR - 2,6%</w:t>
            </w:r>
          </w:p>
        </w:tc>
        <w:tc>
          <w:tcPr>
            <w:tcW w:w="721" w:type="pct"/>
            <w:tcBorders>
              <w:top w:val="single" w:sz="8" w:space="0" w:color="auto"/>
              <w:left w:val="nil"/>
              <w:bottom w:val="single" w:sz="8" w:space="0" w:color="auto"/>
              <w:right w:val="nil"/>
            </w:tcBorders>
            <w:shd w:val="clear" w:color="auto" w:fill="FFFFFF" w:themeFill="background1"/>
            <w:noWrap/>
            <w:vAlign w:val="center"/>
            <w:hideMark/>
          </w:tcPr>
          <w:p w14:paraId="59C45F73" w14:textId="3018B8DA" w:rsidR="0068284D" w:rsidRDefault="0068284D" w:rsidP="0068284D">
            <w:pPr>
              <w:jc w:val="center"/>
              <w:rPr>
                <w:rFonts w:ascii="Arial" w:hAnsi="Arial" w:cs="Arial"/>
                <w:color w:val="000000"/>
                <w:sz w:val="18"/>
                <w:szCs w:val="18"/>
              </w:rPr>
            </w:pPr>
            <w:r>
              <w:rPr>
                <w:rFonts w:ascii="Arial" w:hAnsi="Arial" w:cs="Arial"/>
                <w:color w:val="000000"/>
                <w:sz w:val="18"/>
                <w:szCs w:val="18"/>
              </w:rPr>
              <w:t>11,9% ea</w:t>
            </w:r>
          </w:p>
        </w:tc>
        <w:tc>
          <w:tcPr>
            <w:tcW w:w="1048" w:type="pct"/>
            <w:tcBorders>
              <w:top w:val="single" w:sz="8" w:space="0" w:color="auto"/>
              <w:left w:val="nil"/>
              <w:bottom w:val="single" w:sz="8" w:space="0" w:color="auto"/>
              <w:right w:val="nil"/>
            </w:tcBorders>
            <w:shd w:val="clear" w:color="auto" w:fill="FFFFFF" w:themeFill="background1"/>
            <w:noWrap/>
            <w:vAlign w:val="center"/>
            <w:hideMark/>
          </w:tcPr>
          <w:p w14:paraId="5D8EAE32" w14:textId="064B62D1" w:rsidR="0068284D" w:rsidRDefault="0068284D" w:rsidP="0068284D">
            <w:pPr>
              <w:jc w:val="center"/>
              <w:rPr>
                <w:rFonts w:ascii="Arial" w:hAnsi="Arial" w:cs="Arial"/>
                <w:color w:val="000000"/>
                <w:sz w:val="18"/>
                <w:szCs w:val="18"/>
              </w:rPr>
            </w:pPr>
            <w:r>
              <w:rPr>
                <w:rFonts w:ascii="Arial" w:hAnsi="Arial" w:cs="Arial"/>
                <w:color w:val="000000"/>
                <w:sz w:val="18"/>
                <w:szCs w:val="18"/>
              </w:rPr>
              <w:t>IBR - 7%</w:t>
            </w:r>
          </w:p>
        </w:tc>
      </w:tr>
      <w:tr w:rsidR="00332496" w14:paraId="04A46844" w14:textId="77777777" w:rsidTr="73CC8A29">
        <w:trPr>
          <w:trHeight w:val="240"/>
        </w:trPr>
        <w:tc>
          <w:tcPr>
            <w:tcW w:w="991" w:type="pct"/>
            <w:vMerge/>
            <w:vAlign w:val="center"/>
            <w:hideMark/>
          </w:tcPr>
          <w:p w14:paraId="14902771"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7945E114" w14:textId="77777777" w:rsidR="00332496" w:rsidRDefault="00332496" w:rsidP="00332496">
            <w:pPr>
              <w:rPr>
                <w:rFonts w:ascii="Arial" w:hAnsi="Arial" w:cs="Arial"/>
                <w:color w:val="000000"/>
                <w:sz w:val="18"/>
                <w:szCs w:val="18"/>
              </w:rPr>
            </w:pPr>
            <w:r>
              <w:rPr>
                <w:rFonts w:ascii="Arial" w:hAnsi="Arial" w:cs="Arial"/>
                <w:color w:val="000000"/>
                <w:sz w:val="18"/>
                <w:szCs w:val="18"/>
              </w:rPr>
              <w:t>Mujer Rural</w:t>
            </w:r>
          </w:p>
        </w:tc>
        <w:tc>
          <w:tcPr>
            <w:tcW w:w="719" w:type="pct"/>
            <w:tcBorders>
              <w:top w:val="nil"/>
              <w:left w:val="nil"/>
              <w:bottom w:val="single" w:sz="8" w:space="0" w:color="auto"/>
              <w:right w:val="nil"/>
            </w:tcBorders>
            <w:shd w:val="clear" w:color="auto" w:fill="FFFFFF" w:themeFill="background1"/>
            <w:noWrap/>
            <w:vAlign w:val="center"/>
            <w:hideMark/>
          </w:tcPr>
          <w:p w14:paraId="08D8C3F7" w14:textId="04C30F06" w:rsidR="00332496" w:rsidRDefault="00332496" w:rsidP="00332496">
            <w:pPr>
              <w:jc w:val="center"/>
              <w:rPr>
                <w:rFonts w:ascii="Arial" w:hAnsi="Arial" w:cs="Arial"/>
                <w:color w:val="000000"/>
                <w:sz w:val="18"/>
                <w:szCs w:val="18"/>
              </w:rPr>
            </w:pPr>
            <w:r>
              <w:rPr>
                <w:rFonts w:ascii="Arial" w:hAnsi="Arial" w:cs="Arial"/>
                <w:color w:val="000000"/>
                <w:sz w:val="18"/>
                <w:szCs w:val="18"/>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7EE28C68" w14:textId="63BE7DEF" w:rsidR="00332496" w:rsidRDefault="00332496" w:rsidP="00332496">
            <w:pPr>
              <w:jc w:val="center"/>
              <w:rPr>
                <w:rFonts w:ascii="Arial" w:hAnsi="Arial" w:cs="Arial"/>
                <w:color w:val="000000"/>
                <w:sz w:val="18"/>
                <w:szCs w:val="18"/>
              </w:rPr>
            </w:pPr>
            <w:r>
              <w:rPr>
                <w:rFonts w:ascii="Arial" w:hAnsi="Arial" w:cs="Arial"/>
                <w:color w:val="000000"/>
                <w:sz w:val="18"/>
                <w:szCs w:val="18"/>
              </w:rPr>
              <w:t>11,9% ea</w:t>
            </w:r>
          </w:p>
        </w:tc>
        <w:tc>
          <w:tcPr>
            <w:tcW w:w="1048" w:type="pct"/>
            <w:tcBorders>
              <w:top w:val="nil"/>
              <w:left w:val="nil"/>
              <w:bottom w:val="single" w:sz="8" w:space="0" w:color="auto"/>
              <w:right w:val="nil"/>
            </w:tcBorders>
            <w:shd w:val="clear" w:color="auto" w:fill="FFFFFF" w:themeFill="background1"/>
            <w:noWrap/>
            <w:vAlign w:val="center"/>
            <w:hideMark/>
          </w:tcPr>
          <w:p w14:paraId="54315C07" w14:textId="6EC8E5CF" w:rsidR="00332496" w:rsidRDefault="00332496" w:rsidP="00332496">
            <w:pPr>
              <w:jc w:val="center"/>
              <w:rPr>
                <w:rFonts w:ascii="Arial" w:hAnsi="Arial" w:cs="Arial"/>
                <w:color w:val="000000"/>
                <w:sz w:val="18"/>
                <w:szCs w:val="18"/>
              </w:rPr>
            </w:pPr>
            <w:r>
              <w:rPr>
                <w:rFonts w:ascii="Arial" w:hAnsi="Arial" w:cs="Arial"/>
                <w:color w:val="000000"/>
                <w:sz w:val="18"/>
                <w:szCs w:val="18"/>
              </w:rPr>
              <w:t>IBR - 7%</w:t>
            </w:r>
          </w:p>
        </w:tc>
      </w:tr>
      <w:tr w:rsidR="00332496" w14:paraId="6B63E0EA" w14:textId="77777777" w:rsidTr="73CC8A29">
        <w:trPr>
          <w:trHeight w:val="930"/>
        </w:trPr>
        <w:tc>
          <w:tcPr>
            <w:tcW w:w="991" w:type="pct"/>
            <w:vMerge/>
            <w:vAlign w:val="center"/>
            <w:hideMark/>
          </w:tcPr>
          <w:p w14:paraId="3240A583"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751A5DE4" w14:textId="77777777" w:rsidR="00332496" w:rsidRDefault="00332496" w:rsidP="00332496">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719" w:type="pct"/>
            <w:tcBorders>
              <w:top w:val="nil"/>
              <w:left w:val="nil"/>
              <w:bottom w:val="single" w:sz="8" w:space="0" w:color="auto"/>
              <w:right w:val="nil"/>
            </w:tcBorders>
            <w:shd w:val="clear" w:color="auto" w:fill="FFFFFF" w:themeFill="background1"/>
            <w:noWrap/>
            <w:vAlign w:val="center"/>
            <w:hideMark/>
          </w:tcPr>
          <w:p w14:paraId="0F90E2BA" w14:textId="787FB28A" w:rsidR="00332496" w:rsidRDefault="00332496" w:rsidP="00332496">
            <w:pPr>
              <w:jc w:val="center"/>
              <w:rPr>
                <w:rFonts w:ascii="Arial" w:hAnsi="Arial" w:cs="Arial"/>
                <w:color w:val="000000"/>
                <w:sz w:val="18"/>
                <w:szCs w:val="18"/>
              </w:rPr>
            </w:pPr>
            <w:r>
              <w:rPr>
                <w:rFonts w:ascii="Arial" w:hAnsi="Arial" w:cs="Arial"/>
                <w:color w:val="000000"/>
                <w:sz w:val="18"/>
                <w:szCs w:val="18"/>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4456A674" w14:textId="2677D155" w:rsidR="00332496" w:rsidRDefault="00332496" w:rsidP="00332496">
            <w:pPr>
              <w:jc w:val="center"/>
              <w:rPr>
                <w:rFonts w:ascii="Arial" w:hAnsi="Arial" w:cs="Arial"/>
                <w:color w:val="000000"/>
                <w:sz w:val="18"/>
                <w:szCs w:val="18"/>
              </w:rPr>
            </w:pPr>
            <w:r>
              <w:rPr>
                <w:rFonts w:ascii="Arial" w:hAnsi="Arial" w:cs="Arial"/>
                <w:color w:val="000000"/>
                <w:sz w:val="18"/>
                <w:szCs w:val="18"/>
              </w:rPr>
              <w:t>12,9% ea</w:t>
            </w:r>
          </w:p>
        </w:tc>
        <w:tc>
          <w:tcPr>
            <w:tcW w:w="1048" w:type="pct"/>
            <w:tcBorders>
              <w:top w:val="nil"/>
              <w:left w:val="nil"/>
              <w:bottom w:val="single" w:sz="8" w:space="0" w:color="auto"/>
              <w:right w:val="nil"/>
            </w:tcBorders>
            <w:shd w:val="clear" w:color="auto" w:fill="FFFFFF" w:themeFill="background1"/>
            <w:noWrap/>
            <w:vAlign w:val="center"/>
            <w:hideMark/>
          </w:tcPr>
          <w:p w14:paraId="4B3C8269" w14:textId="577FA25E" w:rsidR="00332496" w:rsidRDefault="00332496" w:rsidP="00332496">
            <w:pPr>
              <w:jc w:val="center"/>
              <w:rPr>
                <w:rFonts w:ascii="Arial" w:hAnsi="Arial" w:cs="Arial"/>
                <w:color w:val="000000"/>
                <w:sz w:val="18"/>
                <w:szCs w:val="18"/>
              </w:rPr>
            </w:pPr>
            <w:r>
              <w:rPr>
                <w:rFonts w:ascii="Arial" w:hAnsi="Arial" w:cs="Arial"/>
                <w:color w:val="000000"/>
                <w:sz w:val="18"/>
                <w:szCs w:val="18"/>
              </w:rPr>
              <w:t>IBR - 6%</w:t>
            </w:r>
          </w:p>
        </w:tc>
      </w:tr>
      <w:tr w:rsidR="00332496" w14:paraId="4B190B0A" w14:textId="77777777" w:rsidTr="73CC8A29">
        <w:trPr>
          <w:trHeight w:val="1620"/>
        </w:trPr>
        <w:tc>
          <w:tcPr>
            <w:tcW w:w="991" w:type="pct"/>
            <w:vMerge w:val="restart"/>
            <w:tcBorders>
              <w:top w:val="nil"/>
              <w:left w:val="nil"/>
              <w:bottom w:val="single" w:sz="8" w:space="0" w:color="000000" w:themeColor="text1"/>
              <w:right w:val="nil"/>
            </w:tcBorders>
            <w:shd w:val="clear" w:color="auto" w:fill="FFFFFF" w:themeFill="background1"/>
            <w:vAlign w:val="center"/>
            <w:hideMark/>
          </w:tcPr>
          <w:p w14:paraId="71B86AFD" w14:textId="77777777" w:rsidR="00332496" w:rsidRDefault="00332496" w:rsidP="00332496">
            <w:pPr>
              <w:jc w:val="center"/>
              <w:rPr>
                <w:rFonts w:ascii="Arial" w:hAnsi="Arial" w:cs="Arial"/>
                <w:color w:val="000000"/>
                <w:sz w:val="18"/>
                <w:szCs w:val="18"/>
              </w:rPr>
            </w:pPr>
            <w:r>
              <w:rPr>
                <w:rFonts w:ascii="Arial" w:hAnsi="Arial" w:cs="Arial"/>
                <w:color w:val="000000"/>
                <w:sz w:val="18"/>
                <w:szCs w:val="18"/>
              </w:rPr>
              <w:t>Pequeño Productor</w:t>
            </w:r>
          </w:p>
        </w:tc>
        <w:tc>
          <w:tcPr>
            <w:tcW w:w="1521" w:type="pct"/>
            <w:tcBorders>
              <w:top w:val="nil"/>
              <w:left w:val="nil"/>
              <w:bottom w:val="single" w:sz="8" w:space="0" w:color="auto"/>
              <w:right w:val="nil"/>
            </w:tcBorders>
            <w:shd w:val="clear" w:color="auto" w:fill="FFFFFF" w:themeFill="background1"/>
            <w:vAlign w:val="center"/>
            <w:hideMark/>
          </w:tcPr>
          <w:p w14:paraId="4AED6106" w14:textId="51C85672" w:rsidR="00332496" w:rsidRDefault="798248C7" w:rsidP="73CC8A29">
            <w:pPr>
              <w:rPr>
                <w:rFonts w:ascii="Arial" w:hAnsi="Arial" w:cs="Arial"/>
                <w:color w:val="000000"/>
                <w:sz w:val="18"/>
                <w:szCs w:val="18"/>
              </w:rPr>
            </w:pPr>
            <w:r w:rsidRPr="73CC8A29">
              <w:rPr>
                <w:rFonts w:ascii="Arial" w:hAnsi="Arial" w:cs="Arial"/>
                <w:color w:val="000000" w:themeColor="text1"/>
                <w:sz w:val="18"/>
                <w:szCs w:val="18"/>
              </w:rPr>
              <w:t>Pequeño productor, Joven rural, y Comunidades Negras, Afrocolombianas, Raizales y Palenqueras (NARP), Comunidades indígenas y étnicas</w:t>
            </w:r>
            <w:r w:rsidR="6690D04A" w:rsidRPr="73CC8A29">
              <w:rPr>
                <w:rFonts w:ascii="Arial" w:hAnsi="Arial" w:cs="Arial"/>
                <w:color w:val="000000" w:themeColor="text1"/>
                <w:sz w:val="18"/>
                <w:szCs w:val="18"/>
              </w:rPr>
              <w:t xml:space="preserve"> (incluid</w:t>
            </w:r>
            <w:r w:rsidR="12E42C23" w:rsidRPr="73CC8A29">
              <w:rPr>
                <w:rFonts w:ascii="Arial" w:hAnsi="Arial" w:cs="Arial"/>
                <w:color w:val="000000" w:themeColor="text1"/>
                <w:sz w:val="18"/>
                <w:szCs w:val="18"/>
              </w:rPr>
              <w:t xml:space="preserve">os los pueblos indígenas de la Guajira y en especial las </w:t>
            </w:r>
            <w:r w:rsidR="005E7528" w:rsidRPr="73CC8A29">
              <w:rPr>
                <w:rFonts w:ascii="Arial" w:hAnsi="Arial" w:cs="Arial"/>
                <w:color w:val="000000" w:themeColor="text1"/>
                <w:sz w:val="18"/>
                <w:szCs w:val="18"/>
              </w:rPr>
              <w:t>comunidades Wayúu</w:t>
            </w:r>
            <w:r w:rsidR="6690D04A" w:rsidRPr="73CC8A29">
              <w:rPr>
                <w:rFonts w:ascii="Arial" w:hAnsi="Arial" w:cs="Arial"/>
                <w:color w:val="000000" w:themeColor="text1"/>
                <w:sz w:val="18"/>
                <w:szCs w:val="18"/>
              </w:rPr>
              <w:t>)</w:t>
            </w:r>
            <w:r w:rsidRPr="73CC8A29">
              <w:rPr>
                <w:rFonts w:ascii="Arial" w:hAnsi="Arial" w:cs="Arial"/>
                <w:color w:val="000000" w:themeColor="text1"/>
                <w:sz w:val="18"/>
                <w:szCs w:val="18"/>
              </w:rPr>
              <w:t>, Población con discapacidad, Población LGBTIQ+ OSIGD, Campesino, Población adulto mayor.</w:t>
            </w:r>
          </w:p>
        </w:tc>
        <w:tc>
          <w:tcPr>
            <w:tcW w:w="719" w:type="pct"/>
            <w:tcBorders>
              <w:top w:val="nil"/>
              <w:left w:val="nil"/>
              <w:bottom w:val="single" w:sz="8" w:space="0" w:color="auto"/>
              <w:right w:val="nil"/>
            </w:tcBorders>
            <w:shd w:val="clear" w:color="auto" w:fill="FFFFFF" w:themeFill="background1"/>
            <w:noWrap/>
            <w:vAlign w:val="center"/>
            <w:hideMark/>
          </w:tcPr>
          <w:p w14:paraId="0FAFF96D" w14:textId="6ED946F9"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6D0080B2" w14:textId="1C575064" w:rsidR="00332496" w:rsidRDefault="00332496" w:rsidP="00332496">
            <w:pPr>
              <w:jc w:val="center"/>
              <w:rPr>
                <w:rFonts w:ascii="Arial" w:hAnsi="Arial" w:cs="Arial"/>
                <w:color w:val="000000"/>
                <w:sz w:val="18"/>
                <w:szCs w:val="18"/>
              </w:rPr>
            </w:pPr>
            <w:r>
              <w:rPr>
                <w:rFonts w:ascii="Arial" w:hAnsi="Arial" w:cs="Arial"/>
                <w:color w:val="000000" w:themeColor="text1"/>
                <w:sz w:val="18"/>
                <w:szCs w:val="18"/>
                <w:lang w:val="es-ES_tradnl"/>
              </w:rPr>
              <w:t>10,9</w:t>
            </w:r>
            <w:r w:rsidRPr="00EF2E77">
              <w:rPr>
                <w:rFonts w:ascii="Arial" w:hAnsi="Arial" w:cs="Arial"/>
                <w:color w:val="000000" w:themeColor="text1"/>
                <w:sz w:val="18"/>
                <w:szCs w:val="18"/>
                <w:lang w:val="es-ES_tradnl"/>
              </w:rPr>
              <w:t>% e.a.</w:t>
            </w:r>
          </w:p>
        </w:tc>
        <w:tc>
          <w:tcPr>
            <w:tcW w:w="1048" w:type="pct"/>
            <w:tcBorders>
              <w:top w:val="nil"/>
              <w:left w:val="nil"/>
              <w:bottom w:val="single" w:sz="8" w:space="0" w:color="auto"/>
              <w:right w:val="nil"/>
            </w:tcBorders>
            <w:shd w:val="clear" w:color="auto" w:fill="FFFFFF" w:themeFill="background1"/>
            <w:noWrap/>
            <w:vAlign w:val="center"/>
            <w:hideMark/>
          </w:tcPr>
          <w:p w14:paraId="47560C0C" w14:textId="77702C64"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r>
      <w:tr w:rsidR="00332496" w14:paraId="571D4173" w14:textId="77777777" w:rsidTr="73CC8A29">
        <w:trPr>
          <w:trHeight w:val="240"/>
        </w:trPr>
        <w:tc>
          <w:tcPr>
            <w:tcW w:w="991" w:type="pct"/>
            <w:vMerge/>
            <w:vAlign w:val="center"/>
            <w:hideMark/>
          </w:tcPr>
          <w:p w14:paraId="1AC960F1"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3A98BD04" w14:textId="77777777" w:rsidR="00332496" w:rsidRDefault="00332496" w:rsidP="00332496">
            <w:pPr>
              <w:rPr>
                <w:rFonts w:ascii="Arial" w:hAnsi="Arial" w:cs="Arial"/>
                <w:color w:val="000000"/>
                <w:sz w:val="18"/>
                <w:szCs w:val="18"/>
              </w:rPr>
            </w:pPr>
            <w:r>
              <w:rPr>
                <w:rFonts w:ascii="Arial" w:hAnsi="Arial" w:cs="Arial"/>
                <w:color w:val="000000"/>
                <w:sz w:val="18"/>
                <w:szCs w:val="18"/>
              </w:rPr>
              <w:t>Mujer Rural</w:t>
            </w:r>
          </w:p>
        </w:tc>
        <w:tc>
          <w:tcPr>
            <w:tcW w:w="719" w:type="pct"/>
            <w:tcBorders>
              <w:top w:val="nil"/>
              <w:left w:val="nil"/>
              <w:bottom w:val="single" w:sz="8" w:space="0" w:color="auto"/>
              <w:right w:val="nil"/>
            </w:tcBorders>
            <w:shd w:val="clear" w:color="auto" w:fill="FFFFFF" w:themeFill="background1"/>
            <w:noWrap/>
            <w:vAlign w:val="center"/>
            <w:hideMark/>
          </w:tcPr>
          <w:p w14:paraId="10981687" w14:textId="6A236BC4"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35A4E4E1" w14:textId="13B99558" w:rsidR="00332496" w:rsidRDefault="00332496" w:rsidP="00332496">
            <w:pPr>
              <w:jc w:val="center"/>
              <w:rPr>
                <w:rFonts w:ascii="Arial" w:hAnsi="Arial" w:cs="Arial"/>
                <w:color w:val="000000"/>
                <w:sz w:val="18"/>
                <w:szCs w:val="18"/>
              </w:rPr>
            </w:pPr>
            <w:r>
              <w:rPr>
                <w:rFonts w:ascii="Arial" w:hAnsi="Arial" w:cs="Arial"/>
                <w:color w:val="000000" w:themeColor="text1"/>
                <w:sz w:val="18"/>
                <w:szCs w:val="18"/>
                <w:lang w:val="es-ES_tradnl"/>
              </w:rPr>
              <w:t>11,9</w:t>
            </w:r>
            <w:r w:rsidRPr="00EF2E77">
              <w:rPr>
                <w:rFonts w:ascii="Arial" w:hAnsi="Arial" w:cs="Arial"/>
                <w:color w:val="000000" w:themeColor="text1"/>
                <w:sz w:val="18"/>
                <w:szCs w:val="18"/>
                <w:lang w:val="es-ES_tradnl"/>
              </w:rPr>
              <w:t>% e.a.</w:t>
            </w:r>
          </w:p>
        </w:tc>
        <w:tc>
          <w:tcPr>
            <w:tcW w:w="1048" w:type="pct"/>
            <w:tcBorders>
              <w:top w:val="nil"/>
              <w:left w:val="nil"/>
              <w:bottom w:val="single" w:sz="8" w:space="0" w:color="auto"/>
              <w:right w:val="nil"/>
            </w:tcBorders>
            <w:shd w:val="clear" w:color="auto" w:fill="FFFFFF" w:themeFill="background1"/>
            <w:noWrap/>
            <w:vAlign w:val="center"/>
            <w:hideMark/>
          </w:tcPr>
          <w:p w14:paraId="11ED492F" w14:textId="790D7721"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- 7</w:t>
            </w:r>
            <w:r w:rsidRPr="00EF2E77">
              <w:rPr>
                <w:rFonts w:ascii="Arial" w:hAnsi="Arial" w:cs="Arial"/>
                <w:color w:val="000000" w:themeColor="text1"/>
                <w:sz w:val="18"/>
                <w:szCs w:val="18"/>
                <w:lang w:val="es-ES_tradnl"/>
              </w:rPr>
              <w:t>%</w:t>
            </w:r>
          </w:p>
        </w:tc>
      </w:tr>
      <w:tr w:rsidR="00332496" w14:paraId="728D2CB0" w14:textId="77777777" w:rsidTr="73CC8A29">
        <w:trPr>
          <w:trHeight w:val="930"/>
        </w:trPr>
        <w:tc>
          <w:tcPr>
            <w:tcW w:w="991" w:type="pct"/>
            <w:vMerge/>
            <w:vAlign w:val="center"/>
            <w:hideMark/>
          </w:tcPr>
          <w:p w14:paraId="1864CD85"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6E2D1AA4" w14:textId="77777777" w:rsidR="00332496" w:rsidRDefault="00332496" w:rsidP="00332496">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719" w:type="pct"/>
            <w:tcBorders>
              <w:top w:val="nil"/>
              <w:left w:val="nil"/>
              <w:bottom w:val="single" w:sz="8" w:space="0" w:color="auto"/>
              <w:right w:val="nil"/>
            </w:tcBorders>
            <w:shd w:val="clear" w:color="auto" w:fill="FFFFFF" w:themeFill="background1"/>
            <w:noWrap/>
            <w:vAlign w:val="center"/>
            <w:hideMark/>
          </w:tcPr>
          <w:p w14:paraId="5363EFAD" w14:textId="33A7990C"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3BEEA17B" w14:textId="0E549CAB" w:rsidR="00332496" w:rsidRDefault="00332496" w:rsidP="00332496">
            <w:pPr>
              <w:jc w:val="center"/>
              <w:rPr>
                <w:rFonts w:ascii="Arial" w:hAnsi="Arial" w:cs="Arial"/>
                <w:color w:val="000000"/>
                <w:sz w:val="18"/>
                <w:szCs w:val="18"/>
              </w:rPr>
            </w:pPr>
            <w:r>
              <w:rPr>
                <w:rFonts w:ascii="Arial" w:hAnsi="Arial" w:cs="Arial"/>
                <w:color w:val="000000" w:themeColor="text1"/>
                <w:sz w:val="18"/>
                <w:szCs w:val="18"/>
                <w:lang w:val="es-ES_tradnl"/>
              </w:rPr>
              <w:t>10,9</w:t>
            </w:r>
            <w:r w:rsidRPr="00EF2E77">
              <w:rPr>
                <w:rFonts w:ascii="Arial" w:hAnsi="Arial" w:cs="Arial"/>
                <w:color w:val="000000" w:themeColor="text1"/>
                <w:sz w:val="18"/>
                <w:szCs w:val="18"/>
                <w:lang w:val="es-ES_tradnl"/>
              </w:rPr>
              <w:t>% e.a.</w:t>
            </w:r>
          </w:p>
        </w:tc>
        <w:tc>
          <w:tcPr>
            <w:tcW w:w="1048" w:type="pct"/>
            <w:tcBorders>
              <w:top w:val="nil"/>
              <w:left w:val="nil"/>
              <w:bottom w:val="single" w:sz="8" w:space="0" w:color="auto"/>
              <w:right w:val="nil"/>
            </w:tcBorders>
            <w:shd w:val="clear" w:color="auto" w:fill="FFFFFF" w:themeFill="background1"/>
            <w:noWrap/>
            <w:vAlign w:val="center"/>
            <w:hideMark/>
          </w:tcPr>
          <w:p w14:paraId="4CB5B929" w14:textId="4366E8FB"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r>
      <w:tr w:rsidR="00332496" w14:paraId="14B34717" w14:textId="77777777" w:rsidTr="73CC8A29">
        <w:trPr>
          <w:trHeight w:val="240"/>
        </w:trPr>
        <w:tc>
          <w:tcPr>
            <w:tcW w:w="991" w:type="pct"/>
            <w:vMerge/>
            <w:vAlign w:val="center"/>
            <w:hideMark/>
          </w:tcPr>
          <w:p w14:paraId="2CF85120"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4D4D15C3" w14:textId="77777777" w:rsidR="00332496" w:rsidRDefault="00332496" w:rsidP="00332496">
            <w:pPr>
              <w:rPr>
                <w:rFonts w:ascii="Arial" w:hAnsi="Arial" w:cs="Arial"/>
                <w:color w:val="000000"/>
                <w:sz w:val="18"/>
                <w:szCs w:val="18"/>
              </w:rPr>
            </w:pPr>
            <w:r>
              <w:rPr>
                <w:rFonts w:ascii="Arial" w:hAnsi="Arial" w:cs="Arial"/>
                <w:color w:val="000000"/>
                <w:sz w:val="18"/>
                <w:szCs w:val="18"/>
              </w:rPr>
              <w:t>Esquema asociativo</w:t>
            </w:r>
          </w:p>
        </w:tc>
        <w:tc>
          <w:tcPr>
            <w:tcW w:w="719" w:type="pct"/>
            <w:tcBorders>
              <w:top w:val="nil"/>
              <w:left w:val="nil"/>
              <w:bottom w:val="single" w:sz="8" w:space="0" w:color="auto"/>
              <w:right w:val="nil"/>
            </w:tcBorders>
            <w:shd w:val="clear" w:color="auto" w:fill="FFFFFF" w:themeFill="background1"/>
            <w:noWrap/>
            <w:vAlign w:val="center"/>
            <w:hideMark/>
          </w:tcPr>
          <w:p w14:paraId="2148AB37" w14:textId="51645C74"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IBR – 3,5%</w:t>
            </w:r>
          </w:p>
        </w:tc>
        <w:tc>
          <w:tcPr>
            <w:tcW w:w="721" w:type="pct"/>
            <w:tcBorders>
              <w:top w:val="nil"/>
              <w:left w:val="nil"/>
              <w:bottom w:val="single" w:sz="8" w:space="0" w:color="auto"/>
              <w:right w:val="nil"/>
            </w:tcBorders>
            <w:shd w:val="clear" w:color="auto" w:fill="FFFFFF" w:themeFill="background1"/>
            <w:noWrap/>
            <w:vAlign w:val="center"/>
            <w:hideMark/>
          </w:tcPr>
          <w:p w14:paraId="7BDD1A7E" w14:textId="16E16BC3" w:rsidR="00332496" w:rsidRDefault="00332496" w:rsidP="00332496">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Pr>
                <w:rFonts w:ascii="Arial" w:hAnsi="Arial" w:cs="Arial"/>
                <w:color w:val="000000" w:themeColor="text1"/>
                <w:sz w:val="18"/>
                <w:szCs w:val="18"/>
                <w:lang w:val="es-ES_tradnl"/>
              </w:rPr>
              <w:t xml:space="preserve"> </w:t>
            </w:r>
            <w:r w:rsidRPr="00EF2E77">
              <w:rPr>
                <w:rFonts w:ascii="Arial" w:hAnsi="Arial" w:cs="Arial"/>
                <w:color w:val="000000" w:themeColor="text1"/>
                <w:sz w:val="18"/>
                <w:szCs w:val="18"/>
                <w:lang w:val="es-ES_tradnl"/>
              </w:rPr>
              <w:t>e.a.</w:t>
            </w:r>
          </w:p>
        </w:tc>
        <w:tc>
          <w:tcPr>
            <w:tcW w:w="1048" w:type="pct"/>
            <w:tcBorders>
              <w:top w:val="nil"/>
              <w:left w:val="nil"/>
              <w:bottom w:val="single" w:sz="8" w:space="0" w:color="auto"/>
              <w:right w:val="nil"/>
            </w:tcBorders>
            <w:shd w:val="clear" w:color="auto" w:fill="FFFFFF" w:themeFill="background1"/>
            <w:noWrap/>
            <w:vAlign w:val="center"/>
            <w:hideMark/>
          </w:tcPr>
          <w:p w14:paraId="6C4E58D8" w14:textId="6BF2C19A"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xml:space="preserve">– 6 </w:t>
            </w:r>
            <w:r w:rsidRPr="00EF2E77">
              <w:rPr>
                <w:rFonts w:ascii="Arial" w:hAnsi="Arial" w:cs="Arial"/>
                <w:color w:val="000000" w:themeColor="text1"/>
                <w:sz w:val="18"/>
                <w:szCs w:val="18"/>
                <w:lang w:val="es-ES_tradnl"/>
              </w:rPr>
              <w:t>%</w:t>
            </w:r>
          </w:p>
        </w:tc>
      </w:tr>
      <w:tr w:rsidR="00332496" w14:paraId="46A861D2" w14:textId="77777777" w:rsidTr="73CC8A29">
        <w:trPr>
          <w:trHeight w:val="240"/>
        </w:trPr>
        <w:tc>
          <w:tcPr>
            <w:tcW w:w="991" w:type="pct"/>
            <w:vMerge/>
            <w:vAlign w:val="center"/>
            <w:hideMark/>
          </w:tcPr>
          <w:p w14:paraId="3CBAF122" w14:textId="77777777" w:rsidR="00332496" w:rsidRDefault="00332496" w:rsidP="00332496">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6AC16C88" w14:textId="77777777" w:rsidR="00332496" w:rsidRDefault="00332496" w:rsidP="00332496">
            <w:pPr>
              <w:rPr>
                <w:rFonts w:ascii="Arial" w:hAnsi="Arial" w:cs="Arial"/>
                <w:color w:val="000000"/>
                <w:sz w:val="18"/>
                <w:szCs w:val="18"/>
              </w:rPr>
            </w:pPr>
            <w:r>
              <w:rPr>
                <w:rFonts w:ascii="Arial" w:hAnsi="Arial" w:cs="Arial"/>
                <w:color w:val="000000"/>
                <w:sz w:val="18"/>
                <w:szCs w:val="18"/>
              </w:rPr>
              <w:t>Esquema integración</w:t>
            </w:r>
          </w:p>
        </w:tc>
        <w:tc>
          <w:tcPr>
            <w:tcW w:w="719" w:type="pct"/>
            <w:tcBorders>
              <w:top w:val="nil"/>
              <w:left w:val="nil"/>
              <w:bottom w:val="single" w:sz="8" w:space="0" w:color="auto"/>
              <w:right w:val="nil"/>
            </w:tcBorders>
            <w:shd w:val="clear" w:color="auto" w:fill="FFFFFF" w:themeFill="background1"/>
            <w:noWrap/>
            <w:vAlign w:val="center"/>
            <w:hideMark/>
          </w:tcPr>
          <w:p w14:paraId="196D8CAD" w14:textId="4964DCBA"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1ABA9893" w14:textId="3DD82BE1" w:rsidR="00332496" w:rsidRDefault="00332496" w:rsidP="00332496">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048" w:type="pct"/>
            <w:tcBorders>
              <w:top w:val="nil"/>
              <w:left w:val="nil"/>
              <w:bottom w:val="single" w:sz="8" w:space="0" w:color="auto"/>
              <w:right w:val="nil"/>
            </w:tcBorders>
            <w:shd w:val="clear" w:color="auto" w:fill="FFFFFF" w:themeFill="background1"/>
            <w:noWrap/>
            <w:vAlign w:val="center"/>
            <w:hideMark/>
          </w:tcPr>
          <w:p w14:paraId="037BFD13" w14:textId="1F1DDA2D" w:rsidR="00332496" w:rsidRDefault="00332496" w:rsidP="00332496">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r>
      <w:tr w:rsidR="008B633B" w14:paraId="3CE26668" w14:textId="77777777" w:rsidTr="73CC8A29">
        <w:trPr>
          <w:trHeight w:val="1620"/>
        </w:trPr>
        <w:tc>
          <w:tcPr>
            <w:tcW w:w="991" w:type="pct"/>
            <w:vMerge w:val="restart"/>
            <w:tcBorders>
              <w:top w:val="nil"/>
              <w:left w:val="nil"/>
              <w:bottom w:val="single" w:sz="8" w:space="0" w:color="000000" w:themeColor="text1"/>
              <w:right w:val="nil"/>
            </w:tcBorders>
            <w:shd w:val="clear" w:color="auto" w:fill="FFFFFF" w:themeFill="background1"/>
            <w:vAlign w:val="center"/>
            <w:hideMark/>
          </w:tcPr>
          <w:p w14:paraId="44BD9DAA" w14:textId="77777777" w:rsidR="008B633B" w:rsidRDefault="008B633B" w:rsidP="008B633B">
            <w:pPr>
              <w:jc w:val="center"/>
              <w:rPr>
                <w:rFonts w:ascii="Arial" w:hAnsi="Arial" w:cs="Arial"/>
                <w:color w:val="000000"/>
                <w:sz w:val="18"/>
                <w:szCs w:val="18"/>
              </w:rPr>
            </w:pPr>
            <w:r>
              <w:rPr>
                <w:rFonts w:ascii="Arial" w:hAnsi="Arial" w:cs="Arial"/>
                <w:color w:val="000000"/>
                <w:sz w:val="18"/>
                <w:szCs w:val="18"/>
              </w:rPr>
              <w:t>Mediano Productor</w:t>
            </w:r>
          </w:p>
        </w:tc>
        <w:tc>
          <w:tcPr>
            <w:tcW w:w="1521" w:type="pct"/>
            <w:tcBorders>
              <w:top w:val="nil"/>
              <w:left w:val="nil"/>
              <w:bottom w:val="single" w:sz="8" w:space="0" w:color="auto"/>
              <w:right w:val="nil"/>
            </w:tcBorders>
            <w:shd w:val="clear" w:color="auto" w:fill="FFFFFF" w:themeFill="background1"/>
            <w:vAlign w:val="center"/>
            <w:hideMark/>
          </w:tcPr>
          <w:p w14:paraId="39565D92" w14:textId="0C006B77" w:rsidR="008B633B" w:rsidRDefault="7C3A2056" w:rsidP="73CC8A29">
            <w:pPr>
              <w:rPr>
                <w:rFonts w:ascii="Arial" w:hAnsi="Arial" w:cs="Arial"/>
                <w:color w:val="000000"/>
                <w:sz w:val="18"/>
                <w:szCs w:val="18"/>
              </w:rPr>
            </w:pPr>
            <w:r w:rsidRPr="73CC8A29">
              <w:rPr>
                <w:rFonts w:ascii="Arial" w:hAnsi="Arial" w:cs="Arial"/>
                <w:color w:val="000000" w:themeColor="text1"/>
                <w:sz w:val="18"/>
                <w:szCs w:val="18"/>
              </w:rPr>
              <w:t>Mediano productor, Joven rural, Comunidades Negras, Afrocolombianas, Raizales y Palenqueras (NARP), y Mujer Rural, Comunidades indígenas y étnicas</w:t>
            </w:r>
            <w:r w:rsidR="6690D04A" w:rsidRPr="73CC8A29">
              <w:rPr>
                <w:rFonts w:ascii="Arial" w:hAnsi="Arial" w:cs="Arial"/>
                <w:color w:val="000000" w:themeColor="text1"/>
                <w:sz w:val="18"/>
                <w:szCs w:val="18"/>
              </w:rPr>
              <w:t xml:space="preserve"> (incluid</w:t>
            </w:r>
            <w:r w:rsidR="24414C35" w:rsidRPr="73CC8A29">
              <w:rPr>
                <w:rFonts w:ascii="Arial" w:hAnsi="Arial" w:cs="Arial"/>
                <w:color w:val="000000" w:themeColor="text1"/>
                <w:sz w:val="18"/>
                <w:szCs w:val="18"/>
              </w:rPr>
              <w:t xml:space="preserve">os los pueblos indígenas de la Guajira y en especial las </w:t>
            </w:r>
            <w:r w:rsidR="005E7528" w:rsidRPr="73CC8A29">
              <w:rPr>
                <w:rFonts w:ascii="Arial" w:hAnsi="Arial" w:cs="Arial"/>
                <w:color w:val="000000" w:themeColor="text1"/>
                <w:sz w:val="18"/>
                <w:szCs w:val="18"/>
              </w:rPr>
              <w:t>comunidades Wayúu</w:t>
            </w:r>
            <w:r w:rsidR="6690D04A" w:rsidRPr="73CC8A29">
              <w:rPr>
                <w:rFonts w:ascii="Arial" w:hAnsi="Arial" w:cs="Arial"/>
                <w:color w:val="000000" w:themeColor="text1"/>
                <w:sz w:val="18"/>
                <w:szCs w:val="18"/>
              </w:rPr>
              <w:t>)</w:t>
            </w:r>
            <w:r w:rsidRPr="73CC8A29">
              <w:rPr>
                <w:rFonts w:ascii="Arial" w:hAnsi="Arial" w:cs="Arial"/>
                <w:color w:val="000000" w:themeColor="text1"/>
                <w:sz w:val="18"/>
                <w:szCs w:val="18"/>
              </w:rPr>
              <w:t xml:space="preserve">, Población con discapacidad, Población LGBTIQ+ OSIGD, Campesino, Población adulto mayor.       </w:t>
            </w:r>
          </w:p>
        </w:tc>
        <w:tc>
          <w:tcPr>
            <w:tcW w:w="719" w:type="pct"/>
            <w:tcBorders>
              <w:top w:val="nil"/>
              <w:left w:val="nil"/>
              <w:bottom w:val="single" w:sz="8" w:space="0" w:color="auto"/>
              <w:right w:val="nil"/>
            </w:tcBorders>
            <w:shd w:val="clear" w:color="auto" w:fill="FFFFFF" w:themeFill="background1"/>
            <w:noWrap/>
            <w:vAlign w:val="center"/>
            <w:hideMark/>
          </w:tcPr>
          <w:p w14:paraId="41508993" w14:textId="6A787569" w:rsidR="008B633B" w:rsidRDefault="008B633B" w:rsidP="008B633B">
            <w:pPr>
              <w:jc w:val="center"/>
              <w:rPr>
                <w:rFonts w:ascii="Arial" w:hAnsi="Arial" w:cs="Arial"/>
                <w:color w:val="000000"/>
                <w:sz w:val="18"/>
                <w:szCs w:val="18"/>
              </w:rPr>
            </w:pPr>
            <w:r w:rsidRPr="00960CCD">
              <w:rPr>
                <w:rFonts w:ascii="Arial" w:hAnsi="Arial" w:cs="Arial"/>
                <w:color w:val="000000" w:themeColor="text1"/>
                <w:sz w:val="18"/>
                <w:szCs w:val="18"/>
              </w:rPr>
              <w:t>IBR + 0,9</w:t>
            </w:r>
          </w:p>
        </w:tc>
        <w:tc>
          <w:tcPr>
            <w:tcW w:w="721" w:type="pct"/>
            <w:tcBorders>
              <w:top w:val="nil"/>
              <w:left w:val="nil"/>
              <w:bottom w:val="single" w:sz="8" w:space="0" w:color="auto"/>
              <w:right w:val="nil"/>
            </w:tcBorders>
            <w:shd w:val="clear" w:color="auto" w:fill="FFFFFF" w:themeFill="background1"/>
            <w:noWrap/>
            <w:vAlign w:val="center"/>
            <w:hideMark/>
          </w:tcPr>
          <w:p w14:paraId="49BA9695" w14:textId="06FD7853" w:rsidR="008B633B" w:rsidRDefault="008B633B" w:rsidP="008B633B">
            <w:pPr>
              <w:jc w:val="center"/>
              <w:rPr>
                <w:rFonts w:ascii="Arial" w:hAnsi="Arial" w:cs="Arial"/>
                <w:color w:val="000000"/>
                <w:sz w:val="18"/>
                <w:szCs w:val="18"/>
              </w:rPr>
            </w:pPr>
            <w:r>
              <w:rPr>
                <w:rFonts w:ascii="Arial" w:hAnsi="Arial" w:cs="Arial"/>
                <w:color w:val="000000" w:themeColor="text1"/>
                <w:sz w:val="18"/>
                <w:szCs w:val="18"/>
                <w:lang w:val="es-ES_tradnl"/>
              </w:rPr>
              <w:t>9,9</w:t>
            </w:r>
            <w:r w:rsidRPr="00960CCD">
              <w:rPr>
                <w:rFonts w:ascii="Arial" w:hAnsi="Arial" w:cs="Arial"/>
                <w:color w:val="000000" w:themeColor="text1"/>
                <w:sz w:val="18"/>
                <w:szCs w:val="18"/>
                <w:lang w:val="es-ES_tradnl"/>
              </w:rPr>
              <w:t>% e.a.</w:t>
            </w:r>
          </w:p>
        </w:tc>
        <w:tc>
          <w:tcPr>
            <w:tcW w:w="1048" w:type="pct"/>
            <w:tcBorders>
              <w:top w:val="nil"/>
              <w:left w:val="nil"/>
              <w:bottom w:val="single" w:sz="8" w:space="0" w:color="auto"/>
              <w:right w:val="nil"/>
            </w:tcBorders>
            <w:shd w:val="clear" w:color="auto" w:fill="FFFFFF" w:themeFill="background1"/>
            <w:noWrap/>
            <w:vAlign w:val="center"/>
            <w:hideMark/>
          </w:tcPr>
          <w:p w14:paraId="162FA53A" w14:textId="5308B8B2" w:rsidR="008B633B" w:rsidRDefault="008B633B" w:rsidP="008B633B">
            <w:pPr>
              <w:jc w:val="center"/>
              <w:rPr>
                <w:rFonts w:ascii="Arial" w:hAnsi="Arial" w:cs="Arial"/>
                <w:color w:val="000000"/>
                <w:sz w:val="18"/>
                <w:szCs w:val="18"/>
              </w:rPr>
            </w:pPr>
            <w:r w:rsidRPr="00960CCD">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- 3</w:t>
            </w:r>
            <w:r w:rsidRPr="00960CCD">
              <w:rPr>
                <w:rFonts w:ascii="Arial" w:hAnsi="Arial" w:cs="Arial"/>
                <w:color w:val="000000" w:themeColor="text1"/>
                <w:sz w:val="18"/>
                <w:szCs w:val="18"/>
                <w:lang w:val="es-ES_tradnl"/>
              </w:rPr>
              <w:t>,</w:t>
            </w:r>
            <w:r>
              <w:rPr>
                <w:rFonts w:ascii="Arial" w:hAnsi="Arial" w:cs="Arial"/>
                <w:color w:val="000000" w:themeColor="text1"/>
                <w:sz w:val="18"/>
                <w:szCs w:val="18"/>
                <w:lang w:val="es-ES_tradnl"/>
              </w:rPr>
              <w:t>1</w:t>
            </w:r>
            <w:r w:rsidRPr="00960CCD">
              <w:rPr>
                <w:rFonts w:ascii="Arial" w:hAnsi="Arial" w:cs="Arial"/>
                <w:color w:val="000000" w:themeColor="text1"/>
                <w:sz w:val="18"/>
                <w:szCs w:val="18"/>
                <w:lang w:val="es-ES_tradnl"/>
              </w:rPr>
              <w:t>%</w:t>
            </w:r>
          </w:p>
        </w:tc>
      </w:tr>
      <w:tr w:rsidR="008B633B" w14:paraId="326805AC" w14:textId="77777777" w:rsidTr="73CC8A29">
        <w:trPr>
          <w:trHeight w:val="930"/>
        </w:trPr>
        <w:tc>
          <w:tcPr>
            <w:tcW w:w="991" w:type="pct"/>
            <w:vMerge/>
            <w:vAlign w:val="center"/>
            <w:hideMark/>
          </w:tcPr>
          <w:p w14:paraId="547F706F" w14:textId="77777777" w:rsidR="008B633B" w:rsidRDefault="008B633B" w:rsidP="008B633B">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38092532" w14:textId="77777777" w:rsidR="008B633B" w:rsidRDefault="008B633B" w:rsidP="008B633B">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719" w:type="pct"/>
            <w:tcBorders>
              <w:top w:val="nil"/>
              <w:left w:val="nil"/>
              <w:bottom w:val="single" w:sz="8" w:space="0" w:color="auto"/>
              <w:right w:val="nil"/>
            </w:tcBorders>
            <w:shd w:val="clear" w:color="auto" w:fill="FFFFFF" w:themeFill="background1"/>
            <w:noWrap/>
            <w:vAlign w:val="center"/>
            <w:hideMark/>
          </w:tcPr>
          <w:p w14:paraId="51E4C4F5" w14:textId="111D3D16" w:rsidR="008B633B" w:rsidRDefault="008B633B" w:rsidP="008B633B">
            <w:pPr>
              <w:jc w:val="center"/>
              <w:rPr>
                <w:rFonts w:ascii="Arial" w:hAnsi="Arial" w:cs="Arial"/>
                <w:color w:val="000000"/>
                <w:sz w:val="18"/>
                <w:szCs w:val="18"/>
              </w:rPr>
            </w:pPr>
            <w:r w:rsidRPr="00EF2E77">
              <w:rPr>
                <w:rFonts w:ascii="Arial" w:hAnsi="Arial" w:cs="Arial"/>
                <w:color w:val="000000" w:themeColor="text1"/>
                <w:sz w:val="18"/>
                <w:szCs w:val="18"/>
              </w:rPr>
              <w:t>IBR – 3,5%</w:t>
            </w:r>
          </w:p>
        </w:tc>
        <w:tc>
          <w:tcPr>
            <w:tcW w:w="721" w:type="pct"/>
            <w:tcBorders>
              <w:top w:val="nil"/>
              <w:left w:val="nil"/>
              <w:bottom w:val="single" w:sz="8" w:space="0" w:color="auto"/>
              <w:right w:val="nil"/>
            </w:tcBorders>
            <w:shd w:val="clear" w:color="auto" w:fill="FFFFFF" w:themeFill="background1"/>
            <w:noWrap/>
            <w:vAlign w:val="center"/>
            <w:hideMark/>
          </w:tcPr>
          <w:p w14:paraId="5064C405" w14:textId="5733E75F" w:rsidR="008B633B" w:rsidRDefault="008B633B" w:rsidP="008B633B">
            <w:pPr>
              <w:jc w:val="center"/>
              <w:rPr>
                <w:rFonts w:ascii="Arial" w:hAnsi="Arial" w:cs="Arial"/>
                <w:color w:val="000000"/>
                <w:sz w:val="18"/>
                <w:szCs w:val="18"/>
              </w:rPr>
            </w:pPr>
            <w:r>
              <w:rPr>
                <w:rFonts w:ascii="Arial" w:hAnsi="Arial" w:cs="Arial"/>
                <w:color w:val="000000" w:themeColor="text1"/>
                <w:sz w:val="18"/>
                <w:szCs w:val="18"/>
              </w:rPr>
              <w:t>8,9</w:t>
            </w:r>
            <w:r w:rsidRPr="00EF2E77">
              <w:rPr>
                <w:rFonts w:ascii="Arial" w:hAnsi="Arial" w:cs="Arial"/>
                <w:color w:val="000000" w:themeColor="text1"/>
                <w:sz w:val="18"/>
                <w:szCs w:val="18"/>
              </w:rPr>
              <w:t>% e.a.</w:t>
            </w:r>
          </w:p>
        </w:tc>
        <w:tc>
          <w:tcPr>
            <w:tcW w:w="1048" w:type="pct"/>
            <w:tcBorders>
              <w:top w:val="nil"/>
              <w:left w:val="nil"/>
              <w:bottom w:val="single" w:sz="8" w:space="0" w:color="auto"/>
              <w:right w:val="nil"/>
            </w:tcBorders>
            <w:shd w:val="clear" w:color="auto" w:fill="FFFFFF" w:themeFill="background1"/>
            <w:noWrap/>
            <w:vAlign w:val="center"/>
            <w:hideMark/>
          </w:tcPr>
          <w:p w14:paraId="44C0C590" w14:textId="1BA8E98F" w:rsidR="008B633B" w:rsidRDefault="008B633B" w:rsidP="008B633B">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w:t>
            </w:r>
            <w:r>
              <w:rPr>
                <w:rFonts w:ascii="Arial" w:hAnsi="Arial" w:cs="Arial"/>
                <w:color w:val="000000" w:themeColor="text1"/>
                <w:sz w:val="18"/>
                <w:szCs w:val="18"/>
                <w:lang w:val="es-ES_tradnl"/>
              </w:rPr>
              <w:t>6</w:t>
            </w:r>
            <w:r w:rsidRPr="00EF2E77">
              <w:rPr>
                <w:rFonts w:ascii="Arial" w:hAnsi="Arial" w:cs="Arial"/>
                <w:color w:val="000000" w:themeColor="text1"/>
                <w:sz w:val="18"/>
                <w:szCs w:val="18"/>
                <w:lang w:val="es-ES_tradnl"/>
              </w:rPr>
              <w:t>%</w:t>
            </w:r>
          </w:p>
        </w:tc>
      </w:tr>
      <w:tr w:rsidR="00DA1742" w14:paraId="0E9AF092" w14:textId="77777777" w:rsidTr="73CC8A29">
        <w:trPr>
          <w:trHeight w:val="240"/>
        </w:trPr>
        <w:tc>
          <w:tcPr>
            <w:tcW w:w="991" w:type="pct"/>
            <w:vMerge/>
            <w:vAlign w:val="center"/>
            <w:hideMark/>
          </w:tcPr>
          <w:p w14:paraId="5BAE6196" w14:textId="77777777" w:rsidR="00DA1742" w:rsidRDefault="00DA1742" w:rsidP="00DA1742">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4BE2A9FB" w14:textId="77777777" w:rsidR="00DA1742" w:rsidRDefault="00DA1742" w:rsidP="00DA1742">
            <w:pPr>
              <w:rPr>
                <w:rFonts w:ascii="Arial" w:hAnsi="Arial" w:cs="Arial"/>
                <w:color w:val="000000"/>
                <w:sz w:val="18"/>
                <w:szCs w:val="18"/>
              </w:rPr>
            </w:pPr>
            <w:r>
              <w:rPr>
                <w:rFonts w:ascii="Arial" w:hAnsi="Arial" w:cs="Arial"/>
                <w:color w:val="000000"/>
                <w:sz w:val="18"/>
                <w:szCs w:val="18"/>
              </w:rPr>
              <w:t>Esquema asociativo simplificado</w:t>
            </w:r>
          </w:p>
        </w:tc>
        <w:tc>
          <w:tcPr>
            <w:tcW w:w="719" w:type="pct"/>
            <w:tcBorders>
              <w:top w:val="nil"/>
              <w:left w:val="nil"/>
              <w:bottom w:val="single" w:sz="8" w:space="0" w:color="auto"/>
              <w:right w:val="nil"/>
            </w:tcBorders>
            <w:shd w:val="clear" w:color="auto" w:fill="FFFFFF" w:themeFill="background1"/>
            <w:noWrap/>
            <w:vAlign w:val="center"/>
            <w:hideMark/>
          </w:tcPr>
          <w:p w14:paraId="519FF100" w14:textId="69A2C266" w:rsidR="00DA1742" w:rsidRDefault="00DA1742" w:rsidP="00DA1742">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7FED7FA3" w14:textId="7A7D6317" w:rsidR="00DA1742" w:rsidRDefault="00DA1742" w:rsidP="00DA1742">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048" w:type="pct"/>
            <w:tcBorders>
              <w:top w:val="nil"/>
              <w:left w:val="nil"/>
              <w:bottom w:val="single" w:sz="8" w:space="0" w:color="auto"/>
              <w:right w:val="nil"/>
            </w:tcBorders>
            <w:shd w:val="clear" w:color="auto" w:fill="FFFFFF" w:themeFill="background1"/>
            <w:noWrap/>
            <w:vAlign w:val="center"/>
            <w:hideMark/>
          </w:tcPr>
          <w:p w14:paraId="55468CF8" w14:textId="7DCAB685" w:rsidR="00DA1742" w:rsidRDefault="00DA1742" w:rsidP="00DA1742">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r>
      <w:tr w:rsidR="00DA1742" w14:paraId="760EB8DF" w14:textId="77777777" w:rsidTr="73CC8A29">
        <w:trPr>
          <w:trHeight w:val="240"/>
        </w:trPr>
        <w:tc>
          <w:tcPr>
            <w:tcW w:w="991" w:type="pct"/>
            <w:vMerge/>
            <w:vAlign w:val="center"/>
            <w:hideMark/>
          </w:tcPr>
          <w:p w14:paraId="690BC8C9" w14:textId="77777777" w:rsidR="00DA1742" w:rsidRDefault="00DA1742" w:rsidP="00DA1742">
            <w:pPr>
              <w:rPr>
                <w:rFonts w:ascii="Arial" w:hAnsi="Arial" w:cs="Arial"/>
                <w:color w:val="000000"/>
                <w:sz w:val="18"/>
                <w:szCs w:val="18"/>
              </w:rPr>
            </w:pPr>
          </w:p>
        </w:tc>
        <w:tc>
          <w:tcPr>
            <w:tcW w:w="1521" w:type="pct"/>
            <w:tcBorders>
              <w:top w:val="nil"/>
              <w:left w:val="nil"/>
              <w:bottom w:val="single" w:sz="8" w:space="0" w:color="auto"/>
              <w:right w:val="nil"/>
            </w:tcBorders>
            <w:shd w:val="clear" w:color="auto" w:fill="FFFFFF" w:themeFill="background1"/>
            <w:vAlign w:val="center"/>
            <w:hideMark/>
          </w:tcPr>
          <w:p w14:paraId="0422A642" w14:textId="77777777" w:rsidR="00DA1742" w:rsidRDefault="00DA1742" w:rsidP="00DA1742">
            <w:pPr>
              <w:rPr>
                <w:rFonts w:ascii="Arial" w:hAnsi="Arial" w:cs="Arial"/>
                <w:color w:val="000000"/>
                <w:sz w:val="18"/>
                <w:szCs w:val="18"/>
              </w:rPr>
            </w:pPr>
            <w:r>
              <w:rPr>
                <w:rFonts w:ascii="Arial" w:hAnsi="Arial" w:cs="Arial"/>
                <w:color w:val="000000"/>
                <w:sz w:val="18"/>
                <w:szCs w:val="18"/>
              </w:rPr>
              <w:t>Esquema integración</w:t>
            </w:r>
          </w:p>
        </w:tc>
        <w:tc>
          <w:tcPr>
            <w:tcW w:w="719" w:type="pct"/>
            <w:tcBorders>
              <w:top w:val="nil"/>
              <w:left w:val="nil"/>
              <w:bottom w:val="single" w:sz="8" w:space="0" w:color="auto"/>
              <w:right w:val="nil"/>
            </w:tcBorders>
            <w:shd w:val="clear" w:color="auto" w:fill="FFFFFF" w:themeFill="background1"/>
            <w:noWrap/>
            <w:vAlign w:val="center"/>
            <w:hideMark/>
          </w:tcPr>
          <w:p w14:paraId="4050E048" w14:textId="58B4A1D2" w:rsidR="00DA1742" w:rsidRDefault="00DA1742" w:rsidP="00DA1742">
            <w:pPr>
              <w:jc w:val="center"/>
              <w:rPr>
                <w:rFonts w:ascii="Arial" w:hAnsi="Arial" w:cs="Arial"/>
                <w:color w:val="000000"/>
                <w:sz w:val="18"/>
                <w:szCs w:val="18"/>
              </w:rPr>
            </w:pPr>
            <w:r w:rsidRPr="00EF2E77">
              <w:rPr>
                <w:rFonts w:ascii="Arial" w:hAnsi="Arial" w:cs="Arial"/>
                <w:color w:val="000000" w:themeColor="text1"/>
                <w:sz w:val="18"/>
                <w:szCs w:val="18"/>
                <w:lang w:val="es-ES_tradnl"/>
              </w:rPr>
              <w:t>IBR – 2,6%</w:t>
            </w:r>
          </w:p>
        </w:tc>
        <w:tc>
          <w:tcPr>
            <w:tcW w:w="721" w:type="pct"/>
            <w:tcBorders>
              <w:top w:val="nil"/>
              <w:left w:val="nil"/>
              <w:bottom w:val="single" w:sz="8" w:space="0" w:color="auto"/>
              <w:right w:val="nil"/>
            </w:tcBorders>
            <w:shd w:val="clear" w:color="auto" w:fill="FFFFFF" w:themeFill="background1"/>
            <w:noWrap/>
            <w:vAlign w:val="center"/>
            <w:hideMark/>
          </w:tcPr>
          <w:p w14:paraId="79B90DBC" w14:textId="2D4C1F11" w:rsidR="00DA1742" w:rsidRDefault="00DA1742" w:rsidP="00DA1742">
            <w:pPr>
              <w:jc w:val="center"/>
              <w:rPr>
                <w:rFonts w:ascii="Arial" w:hAnsi="Arial" w:cs="Arial"/>
                <w:color w:val="000000"/>
                <w:sz w:val="18"/>
                <w:szCs w:val="18"/>
              </w:rPr>
            </w:pPr>
            <w:r>
              <w:rPr>
                <w:rFonts w:ascii="Arial" w:hAnsi="Arial" w:cs="Arial"/>
                <w:color w:val="000000" w:themeColor="text1"/>
                <w:sz w:val="18"/>
                <w:szCs w:val="18"/>
                <w:lang w:val="es-ES_tradnl"/>
              </w:rPr>
              <w:t>10,9</w:t>
            </w:r>
            <w:r w:rsidRPr="00960CCD">
              <w:rPr>
                <w:rFonts w:ascii="Arial" w:hAnsi="Arial" w:cs="Arial"/>
                <w:color w:val="000000" w:themeColor="text1"/>
                <w:sz w:val="18"/>
                <w:szCs w:val="18"/>
                <w:lang w:val="es-ES_tradnl"/>
              </w:rPr>
              <w:t>%</w:t>
            </w:r>
            <w:r w:rsidRPr="00EF2E77">
              <w:rPr>
                <w:rFonts w:ascii="Arial" w:hAnsi="Arial" w:cs="Arial"/>
                <w:color w:val="000000" w:themeColor="text1"/>
                <w:sz w:val="18"/>
                <w:szCs w:val="18"/>
                <w:lang w:val="es-ES_tradnl"/>
              </w:rPr>
              <w:t xml:space="preserve"> e.a.</w:t>
            </w:r>
          </w:p>
        </w:tc>
        <w:tc>
          <w:tcPr>
            <w:tcW w:w="1048" w:type="pct"/>
            <w:tcBorders>
              <w:top w:val="nil"/>
              <w:left w:val="nil"/>
              <w:bottom w:val="single" w:sz="8" w:space="0" w:color="auto"/>
              <w:right w:val="nil"/>
            </w:tcBorders>
            <w:shd w:val="clear" w:color="auto" w:fill="FFFFFF" w:themeFill="background1"/>
            <w:noWrap/>
            <w:vAlign w:val="center"/>
            <w:hideMark/>
          </w:tcPr>
          <w:p w14:paraId="4B50CE7F" w14:textId="1D45B211" w:rsidR="00DA1742" w:rsidRDefault="00DA1742" w:rsidP="00DA1742">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IBR </w:t>
            </w:r>
            <w:r>
              <w:rPr>
                <w:rFonts w:ascii="Arial" w:hAnsi="Arial" w:cs="Arial"/>
                <w:color w:val="000000" w:themeColor="text1"/>
                <w:sz w:val="18"/>
                <w:szCs w:val="18"/>
                <w:lang w:val="es-ES_tradnl"/>
              </w:rPr>
              <w:t>- 6</w:t>
            </w:r>
            <w:r w:rsidRPr="00EF2E77">
              <w:rPr>
                <w:rFonts w:ascii="Arial" w:hAnsi="Arial" w:cs="Arial"/>
                <w:color w:val="000000" w:themeColor="text1"/>
                <w:sz w:val="18"/>
                <w:szCs w:val="18"/>
                <w:lang w:val="es-ES_tradnl"/>
              </w:rPr>
              <w:t>%</w:t>
            </w:r>
          </w:p>
        </w:tc>
      </w:tr>
      <w:tr w:rsidR="00302C72" w14:paraId="36098900" w14:textId="77777777" w:rsidTr="73CC8A29">
        <w:trPr>
          <w:trHeight w:val="250"/>
        </w:trPr>
        <w:tc>
          <w:tcPr>
            <w:tcW w:w="5000" w:type="pct"/>
            <w:gridSpan w:val="5"/>
            <w:tcBorders>
              <w:top w:val="single" w:sz="8" w:space="0" w:color="auto"/>
              <w:left w:val="nil"/>
              <w:bottom w:val="nil"/>
              <w:right w:val="nil"/>
            </w:tcBorders>
            <w:shd w:val="clear" w:color="auto" w:fill="auto"/>
            <w:vAlign w:val="center"/>
            <w:hideMark/>
          </w:tcPr>
          <w:p w14:paraId="2DD741F1" w14:textId="77777777" w:rsidR="00302C72" w:rsidRDefault="00302C72" w:rsidP="009137D3">
            <w:pPr>
              <w:rPr>
                <w:rFonts w:ascii="Arial" w:hAnsi="Arial" w:cs="Arial"/>
                <w:color w:val="000000"/>
              </w:rPr>
            </w:pPr>
            <w:r>
              <w:rPr>
                <w:rFonts w:ascii="Arial" w:hAnsi="Arial" w:cs="Arial"/>
                <w:color w:val="000000"/>
              </w:rPr>
              <w:t>*IBR y spread en términos nominales</w:t>
            </w:r>
          </w:p>
        </w:tc>
      </w:tr>
    </w:tbl>
    <w:p w14:paraId="26D9A5A9" w14:textId="77777777" w:rsidR="00302C72" w:rsidRPr="006564E7" w:rsidRDefault="00302C72" w:rsidP="00302C72">
      <w:pPr>
        <w:pStyle w:val="Prrafodelista"/>
        <w:ind w:left="1068" w:firstLine="348"/>
        <w:jc w:val="both"/>
        <w:outlineLvl w:val="1"/>
        <w:rPr>
          <w:rFonts w:ascii="Arial" w:hAnsi="Arial" w:cs="Arial"/>
          <w:color w:val="000000" w:themeColor="text1"/>
          <w:sz w:val="22"/>
          <w:szCs w:val="22"/>
        </w:rPr>
      </w:pPr>
    </w:p>
    <w:p w14:paraId="503E634B" w14:textId="3C8ABE31" w:rsidR="0018089B" w:rsidRPr="000158E6" w:rsidRDefault="674A5F53" w:rsidP="000158E6">
      <w:pPr>
        <w:pStyle w:val="Prrafodelista"/>
        <w:numPr>
          <w:ilvl w:val="0"/>
          <w:numId w:val="4"/>
        </w:numPr>
        <w:contextualSpacing/>
        <w:jc w:val="both"/>
        <w:rPr>
          <w:rFonts w:ascii="Arial" w:hAnsi="Arial" w:cs="Arial"/>
          <w:sz w:val="22"/>
          <w:szCs w:val="22"/>
        </w:rPr>
      </w:pPr>
      <w:r w:rsidRPr="44DBAE3A">
        <w:rPr>
          <w:rFonts w:ascii="Arial" w:hAnsi="Arial" w:cs="Arial"/>
          <w:b/>
          <w:bCs/>
          <w:sz w:val="22"/>
          <w:szCs w:val="22"/>
        </w:rPr>
        <w:t>LEC Reforma Agraria:</w:t>
      </w:r>
      <w:r w:rsidRPr="44DBAE3A">
        <w:rPr>
          <w:rFonts w:ascii="Arial" w:hAnsi="Arial" w:cs="Arial"/>
          <w:sz w:val="22"/>
          <w:szCs w:val="22"/>
        </w:rPr>
        <w:t xml:space="preserve"> se financia inversiones en compra de tierras para uso agropecuario y los gastos relacionados con la compra de tierras para uso agropecuario</w:t>
      </w:r>
      <w:r w:rsidR="221FF47B" w:rsidRPr="44DBAE3A">
        <w:rPr>
          <w:rFonts w:ascii="Arial" w:hAnsi="Arial" w:cs="Arial"/>
          <w:sz w:val="22"/>
          <w:szCs w:val="22"/>
        </w:rPr>
        <w:t>.</w:t>
      </w:r>
    </w:p>
    <w:p w14:paraId="0474046C" w14:textId="77777777" w:rsidR="0018089B" w:rsidRPr="0018089B" w:rsidRDefault="0018089B" w:rsidP="00354A42">
      <w:pPr>
        <w:pStyle w:val="Prrafodelista"/>
        <w:ind w:left="720"/>
        <w:contextualSpacing/>
        <w:jc w:val="both"/>
        <w:rPr>
          <w:rFonts w:ascii="Arial" w:hAnsi="Arial" w:cs="Arial"/>
          <w:sz w:val="22"/>
          <w:szCs w:val="22"/>
        </w:rPr>
      </w:pPr>
    </w:p>
    <w:p w14:paraId="5F76EDE7" w14:textId="089FD31E" w:rsidR="0090601D" w:rsidRDefault="674A5F53" w:rsidP="0090601D">
      <w:pPr>
        <w:pStyle w:val="Prrafodelista"/>
        <w:numPr>
          <w:ilvl w:val="0"/>
          <w:numId w:val="24"/>
        </w:numPr>
        <w:contextualSpacing/>
        <w:jc w:val="both"/>
        <w:rPr>
          <w:rFonts w:ascii="Arial" w:hAnsi="Arial" w:cs="Arial"/>
          <w:sz w:val="22"/>
          <w:szCs w:val="22"/>
        </w:rPr>
      </w:pPr>
      <w:r w:rsidRPr="44DBAE3A">
        <w:rPr>
          <w:rFonts w:ascii="Arial" w:hAnsi="Arial" w:cs="Arial"/>
          <w:b/>
          <w:bCs/>
          <w:sz w:val="22"/>
          <w:szCs w:val="22"/>
        </w:rPr>
        <w:t>Beneficiarios.</w:t>
      </w:r>
      <w:r w:rsidRPr="44DBAE3A">
        <w:rPr>
          <w:rFonts w:ascii="Arial" w:hAnsi="Arial" w:cs="Arial"/>
          <w:sz w:val="22"/>
          <w:szCs w:val="22"/>
        </w:rPr>
        <w:t xml:space="preserve"> Podrán acceder a esta línea las personas naturales o jurídicas de que tratan los artículos 4º y 5º, del Decreto Ley 902 de 2017, así como el pequeño </w:t>
      </w:r>
      <w:r w:rsidRPr="44DBAE3A">
        <w:rPr>
          <w:rFonts w:ascii="Arial" w:hAnsi="Arial" w:cs="Arial"/>
          <w:sz w:val="22"/>
          <w:szCs w:val="22"/>
        </w:rPr>
        <w:lastRenderedPageBreak/>
        <w:t xml:space="preserve">productor de ingresos bajos, el pequeño productor y mediano productor de acuerdo con el Artículo 1º de la presente resolución. </w:t>
      </w:r>
    </w:p>
    <w:p w14:paraId="1CD563DB" w14:textId="77777777" w:rsidR="0090601D" w:rsidRDefault="0090601D" w:rsidP="0090601D">
      <w:pPr>
        <w:pStyle w:val="Prrafodelista"/>
        <w:ind w:left="720"/>
        <w:contextualSpacing/>
        <w:jc w:val="both"/>
        <w:rPr>
          <w:rFonts w:ascii="Arial" w:hAnsi="Arial" w:cs="Arial"/>
          <w:sz w:val="22"/>
          <w:szCs w:val="22"/>
        </w:rPr>
      </w:pPr>
    </w:p>
    <w:p w14:paraId="122047E0" w14:textId="26672EB0" w:rsidR="0018089B" w:rsidRPr="0090601D" w:rsidRDefault="0018089B" w:rsidP="0090601D">
      <w:pPr>
        <w:pStyle w:val="Prrafodelista"/>
        <w:numPr>
          <w:ilvl w:val="0"/>
          <w:numId w:val="24"/>
        </w:numPr>
        <w:contextualSpacing/>
        <w:jc w:val="both"/>
        <w:rPr>
          <w:rFonts w:ascii="Arial" w:hAnsi="Arial" w:cs="Arial"/>
          <w:sz w:val="22"/>
          <w:szCs w:val="22"/>
        </w:rPr>
      </w:pPr>
      <w:r w:rsidRPr="0090601D">
        <w:rPr>
          <w:rFonts w:ascii="Arial" w:hAnsi="Arial" w:cs="Arial"/>
          <w:b/>
          <w:bCs/>
          <w:sz w:val="22"/>
          <w:szCs w:val="22"/>
        </w:rPr>
        <w:t>Actividades financiables.</w:t>
      </w:r>
      <w:r w:rsidRPr="0090601D">
        <w:rPr>
          <w:rFonts w:ascii="Arial" w:hAnsi="Arial" w:cs="Arial"/>
          <w:sz w:val="22"/>
          <w:szCs w:val="22"/>
        </w:rPr>
        <w:t xml:space="preserve"> Las actividades financiables en esta LEC corresponden a: </w:t>
      </w:r>
    </w:p>
    <w:p w14:paraId="7B72220E" w14:textId="77777777" w:rsidR="0018089B" w:rsidRPr="0018089B" w:rsidRDefault="0018089B" w:rsidP="0090601D">
      <w:pPr>
        <w:pStyle w:val="Prrafodelista"/>
        <w:ind w:left="720"/>
        <w:contextualSpacing/>
        <w:jc w:val="both"/>
        <w:rPr>
          <w:rFonts w:ascii="Arial" w:hAnsi="Arial" w:cs="Arial"/>
          <w:sz w:val="22"/>
          <w:szCs w:val="22"/>
        </w:rPr>
      </w:pPr>
    </w:p>
    <w:p w14:paraId="30B4AE4F" w14:textId="77777777" w:rsidR="005D3316" w:rsidRDefault="0018089B" w:rsidP="00D96E73">
      <w:pPr>
        <w:pStyle w:val="Prrafodelista"/>
        <w:numPr>
          <w:ilvl w:val="0"/>
          <w:numId w:val="26"/>
        </w:numPr>
        <w:contextualSpacing/>
        <w:jc w:val="both"/>
        <w:rPr>
          <w:rFonts w:ascii="Arial" w:hAnsi="Arial" w:cs="Arial"/>
          <w:sz w:val="22"/>
          <w:szCs w:val="22"/>
        </w:rPr>
      </w:pPr>
      <w:r w:rsidRPr="0018089B">
        <w:rPr>
          <w:rFonts w:ascii="Arial" w:hAnsi="Arial" w:cs="Arial"/>
          <w:sz w:val="22"/>
          <w:szCs w:val="22"/>
        </w:rPr>
        <w:t>La compra de tierras para uso en actividades agropecuarias.</w:t>
      </w:r>
    </w:p>
    <w:p w14:paraId="64917070" w14:textId="14C3A599" w:rsidR="0018089B" w:rsidRPr="0018089B" w:rsidRDefault="0018089B" w:rsidP="005D3316">
      <w:pPr>
        <w:pStyle w:val="Prrafodelista"/>
        <w:ind w:left="1440"/>
        <w:contextualSpacing/>
        <w:jc w:val="both"/>
        <w:rPr>
          <w:rFonts w:ascii="Arial" w:hAnsi="Arial" w:cs="Arial"/>
          <w:sz w:val="22"/>
          <w:szCs w:val="22"/>
        </w:rPr>
      </w:pPr>
      <w:r w:rsidRPr="0018089B">
        <w:rPr>
          <w:rFonts w:ascii="Arial" w:hAnsi="Arial" w:cs="Arial"/>
          <w:sz w:val="22"/>
          <w:szCs w:val="22"/>
        </w:rPr>
        <w:t xml:space="preserve"> </w:t>
      </w:r>
    </w:p>
    <w:p w14:paraId="3A93748B" w14:textId="77777777" w:rsidR="0018089B" w:rsidRPr="0018089B" w:rsidRDefault="0018089B" w:rsidP="00D96E73">
      <w:pPr>
        <w:pStyle w:val="Prrafodelista"/>
        <w:numPr>
          <w:ilvl w:val="0"/>
          <w:numId w:val="26"/>
        </w:numPr>
        <w:contextualSpacing/>
        <w:jc w:val="both"/>
        <w:rPr>
          <w:rFonts w:ascii="Arial" w:hAnsi="Arial" w:cs="Arial"/>
          <w:sz w:val="22"/>
          <w:szCs w:val="22"/>
        </w:rPr>
      </w:pPr>
      <w:r w:rsidRPr="0018089B">
        <w:rPr>
          <w:rFonts w:ascii="Arial" w:hAnsi="Arial" w:cs="Arial"/>
          <w:sz w:val="22"/>
          <w:szCs w:val="22"/>
        </w:rPr>
        <w:t xml:space="preserve">Los gastos relacionados con la compra de tierras para uso en actividades agropecuarias, tales como: gastos de documentación del predio, estudios jurídicos y técnicos, derechos notariales, gastos de registro, y pago de impuestos. </w:t>
      </w:r>
    </w:p>
    <w:p w14:paraId="45EADC00" w14:textId="77777777" w:rsidR="0018089B" w:rsidRPr="0018089B" w:rsidRDefault="0018089B" w:rsidP="0090601D">
      <w:pPr>
        <w:pStyle w:val="Prrafodelista"/>
        <w:ind w:left="720"/>
        <w:contextualSpacing/>
        <w:jc w:val="both"/>
        <w:rPr>
          <w:rFonts w:ascii="Arial" w:hAnsi="Arial" w:cs="Arial"/>
          <w:sz w:val="22"/>
          <w:szCs w:val="22"/>
        </w:rPr>
      </w:pPr>
    </w:p>
    <w:p w14:paraId="273D8A5B" w14:textId="77777777" w:rsidR="007742D7" w:rsidRDefault="0018089B" w:rsidP="007742D7">
      <w:pPr>
        <w:pStyle w:val="Prrafodelista"/>
        <w:numPr>
          <w:ilvl w:val="0"/>
          <w:numId w:val="24"/>
        </w:numPr>
        <w:contextualSpacing/>
        <w:jc w:val="both"/>
        <w:rPr>
          <w:rFonts w:ascii="Arial" w:hAnsi="Arial" w:cs="Arial"/>
          <w:sz w:val="22"/>
          <w:szCs w:val="22"/>
        </w:rPr>
      </w:pPr>
      <w:r w:rsidRPr="00AD15CF">
        <w:rPr>
          <w:rFonts w:ascii="Arial" w:hAnsi="Arial" w:cs="Arial"/>
          <w:b/>
          <w:bCs/>
          <w:sz w:val="22"/>
          <w:szCs w:val="22"/>
        </w:rPr>
        <w:t>Periodo de reconocimiento del subsidio.</w:t>
      </w:r>
      <w:r w:rsidRPr="00AD15CF">
        <w:rPr>
          <w:rFonts w:ascii="Arial" w:hAnsi="Arial" w:cs="Arial"/>
          <w:sz w:val="22"/>
          <w:szCs w:val="22"/>
        </w:rPr>
        <w:t xml:space="preserve"> El plazo de otorgamiento del subsidio será de hasta veinte (20) años, incluidos hasta tres (3) años de periodo de gracia.</w:t>
      </w:r>
    </w:p>
    <w:p w14:paraId="11258BE2" w14:textId="77777777" w:rsidR="007742D7" w:rsidRDefault="007742D7" w:rsidP="007742D7">
      <w:pPr>
        <w:pStyle w:val="Prrafodelista"/>
        <w:ind w:left="720"/>
        <w:contextualSpacing/>
        <w:jc w:val="both"/>
        <w:rPr>
          <w:rFonts w:ascii="Arial" w:hAnsi="Arial" w:cs="Arial"/>
          <w:sz w:val="22"/>
          <w:szCs w:val="22"/>
        </w:rPr>
      </w:pPr>
    </w:p>
    <w:p w14:paraId="366CF170" w14:textId="30041244" w:rsidR="0018089B" w:rsidRDefault="0018089B" w:rsidP="007742D7">
      <w:pPr>
        <w:pStyle w:val="Prrafodelista"/>
        <w:numPr>
          <w:ilvl w:val="0"/>
          <w:numId w:val="24"/>
        </w:numPr>
        <w:contextualSpacing/>
        <w:jc w:val="both"/>
        <w:rPr>
          <w:rFonts w:ascii="Arial" w:hAnsi="Arial" w:cs="Arial"/>
          <w:sz w:val="22"/>
          <w:szCs w:val="22"/>
        </w:rPr>
      </w:pPr>
      <w:r w:rsidRPr="007742D7">
        <w:rPr>
          <w:rFonts w:ascii="Arial" w:hAnsi="Arial" w:cs="Arial"/>
          <w:b/>
          <w:bCs/>
          <w:sz w:val="22"/>
          <w:szCs w:val="22"/>
        </w:rPr>
        <w:t>Tasa de Redescuento y de Interés al Beneficiario.</w:t>
      </w:r>
      <w:r w:rsidRPr="007742D7">
        <w:rPr>
          <w:rFonts w:ascii="Arial" w:hAnsi="Arial" w:cs="Arial"/>
          <w:sz w:val="22"/>
          <w:szCs w:val="22"/>
        </w:rPr>
        <w:t xml:space="preserve"> La línea contará con las siguientes condiciones financieras.</w:t>
      </w:r>
    </w:p>
    <w:p w14:paraId="44C9C5F5" w14:textId="77777777" w:rsidR="00D85133" w:rsidRDefault="00D85133" w:rsidP="00D85133">
      <w:pPr>
        <w:pStyle w:val="Prrafodelista"/>
        <w:rPr>
          <w:rFonts w:ascii="Arial" w:hAnsi="Arial" w:cs="Arial"/>
          <w:sz w:val="22"/>
          <w:szCs w:val="22"/>
        </w:rPr>
      </w:pPr>
    </w:p>
    <w:p w14:paraId="6AB7A275" w14:textId="77777777" w:rsidR="002C13A0" w:rsidRPr="00D6620C" w:rsidRDefault="002C13A0" w:rsidP="002C13A0">
      <w:pPr>
        <w:ind w:left="708" w:firstLine="708"/>
        <w:jc w:val="both"/>
        <w:outlineLvl w:val="1"/>
        <w:rPr>
          <w:rFonts w:ascii="Arial" w:hAnsi="Arial" w:cs="Arial"/>
          <w:color w:val="000000" w:themeColor="text1"/>
          <w:sz w:val="22"/>
          <w:szCs w:val="22"/>
          <w:lang w:val="es-ES_tradnl"/>
        </w:rPr>
      </w:pPr>
      <w:r w:rsidRPr="00D6620C">
        <w:rPr>
          <w:rFonts w:ascii="Arial" w:hAnsi="Arial" w:cs="Arial"/>
          <w:b/>
          <w:color w:val="000000" w:themeColor="text1"/>
          <w:sz w:val="22"/>
          <w:szCs w:val="22"/>
          <w:lang w:val="es-ES_tradnl" w:eastAsia="es-CO"/>
        </w:rPr>
        <w:t>Condiciones financieras en IBR</w:t>
      </w:r>
      <w:r>
        <w:rPr>
          <w:rFonts w:ascii="Arial" w:hAnsi="Arial" w:cs="Arial"/>
          <w:b/>
          <w:color w:val="000000" w:themeColor="text1"/>
          <w:sz w:val="22"/>
          <w:szCs w:val="22"/>
          <w:lang w:val="es-ES_tradnl" w:eastAsia="es-CO"/>
        </w:rPr>
        <w:t>*</w:t>
      </w:r>
    </w:p>
    <w:p w14:paraId="21E05020" w14:textId="77777777" w:rsidR="002C13A0" w:rsidRDefault="002C13A0" w:rsidP="002C13A0">
      <w:pPr>
        <w:ind w:left="-709"/>
        <w:jc w:val="both"/>
        <w:outlineLvl w:val="1"/>
        <w:rPr>
          <w:rFonts w:ascii="Arial" w:hAnsi="Arial" w:cs="Arial"/>
          <w:strike/>
          <w:color w:val="000000" w:themeColor="text1"/>
          <w:sz w:val="16"/>
          <w:szCs w:val="16"/>
        </w:rPr>
      </w:pPr>
    </w:p>
    <w:tbl>
      <w:tblPr>
        <w:tblW w:w="5000" w:type="pct"/>
        <w:tblLayout w:type="fixed"/>
        <w:tblCellMar>
          <w:left w:w="70" w:type="dxa"/>
          <w:right w:w="70" w:type="dxa"/>
        </w:tblCellMar>
        <w:tblLook w:val="04A0" w:firstRow="1" w:lastRow="0" w:firstColumn="1" w:lastColumn="0" w:noHBand="0" w:noVBand="1"/>
      </w:tblPr>
      <w:tblGrid>
        <w:gridCol w:w="1276"/>
        <w:gridCol w:w="1276"/>
        <w:gridCol w:w="1276"/>
        <w:gridCol w:w="944"/>
        <w:gridCol w:w="1510"/>
        <w:gridCol w:w="1230"/>
        <w:gridCol w:w="1326"/>
      </w:tblGrid>
      <w:tr w:rsidR="002C13A0" w14:paraId="34B20257" w14:textId="77777777" w:rsidTr="06457A15">
        <w:trPr>
          <w:trHeight w:val="620"/>
        </w:trPr>
        <w:tc>
          <w:tcPr>
            <w:tcW w:w="722" w:type="pct"/>
            <w:tcBorders>
              <w:top w:val="single" w:sz="8" w:space="0" w:color="auto"/>
              <w:left w:val="nil"/>
              <w:bottom w:val="nil"/>
              <w:right w:val="nil"/>
            </w:tcBorders>
            <w:shd w:val="clear" w:color="auto" w:fill="FFFFFF" w:themeFill="background1"/>
            <w:vAlign w:val="center"/>
            <w:hideMark/>
          </w:tcPr>
          <w:p w14:paraId="356EAB80" w14:textId="77777777" w:rsidR="002C13A0" w:rsidRDefault="002C13A0" w:rsidP="009137D3">
            <w:pPr>
              <w:jc w:val="center"/>
              <w:rPr>
                <w:rFonts w:ascii="Arial" w:hAnsi="Arial" w:cs="Arial"/>
                <w:b/>
                <w:bCs/>
                <w:color w:val="000000"/>
                <w:sz w:val="18"/>
                <w:szCs w:val="18"/>
                <w:lang w:eastAsia="es-CO"/>
              </w:rPr>
            </w:pPr>
            <w:r>
              <w:rPr>
                <w:rFonts w:ascii="Arial" w:hAnsi="Arial" w:cs="Arial"/>
                <w:b/>
                <w:bCs/>
                <w:color w:val="000000"/>
                <w:sz w:val="18"/>
                <w:szCs w:val="18"/>
                <w:lang w:val="es-ES_tradnl"/>
              </w:rPr>
              <w:t>Tipo de Productor</w:t>
            </w:r>
          </w:p>
        </w:tc>
        <w:tc>
          <w:tcPr>
            <w:tcW w:w="722" w:type="pct"/>
            <w:tcBorders>
              <w:top w:val="single" w:sz="8" w:space="0" w:color="auto"/>
              <w:left w:val="nil"/>
              <w:bottom w:val="nil"/>
              <w:right w:val="nil"/>
            </w:tcBorders>
            <w:shd w:val="clear" w:color="auto" w:fill="FFFFFF" w:themeFill="background1"/>
            <w:vAlign w:val="center"/>
            <w:hideMark/>
          </w:tcPr>
          <w:p w14:paraId="71B6191A" w14:textId="77777777" w:rsidR="002C13A0" w:rsidRDefault="002C13A0" w:rsidP="009137D3">
            <w:pPr>
              <w:jc w:val="center"/>
              <w:rPr>
                <w:rFonts w:ascii="Arial" w:hAnsi="Arial" w:cs="Arial"/>
                <w:b/>
                <w:bCs/>
                <w:color w:val="000000"/>
                <w:sz w:val="18"/>
                <w:szCs w:val="18"/>
              </w:rPr>
            </w:pPr>
            <w:r>
              <w:rPr>
                <w:rFonts w:ascii="Arial" w:hAnsi="Arial" w:cs="Arial"/>
                <w:b/>
                <w:bCs/>
                <w:color w:val="000000"/>
                <w:sz w:val="18"/>
                <w:szCs w:val="18"/>
                <w:lang w:val="es-ES_tradnl"/>
              </w:rPr>
              <w:t>Beneficiario Especial</w:t>
            </w:r>
          </w:p>
        </w:tc>
        <w:tc>
          <w:tcPr>
            <w:tcW w:w="722" w:type="pct"/>
            <w:tcBorders>
              <w:top w:val="single" w:sz="8" w:space="0" w:color="auto"/>
              <w:left w:val="nil"/>
              <w:bottom w:val="nil"/>
              <w:right w:val="nil"/>
            </w:tcBorders>
            <w:shd w:val="clear" w:color="auto" w:fill="FFFFFF" w:themeFill="background1"/>
            <w:vAlign w:val="center"/>
            <w:hideMark/>
          </w:tcPr>
          <w:p w14:paraId="71EDDED9" w14:textId="77777777" w:rsidR="002C13A0" w:rsidRDefault="002C13A0" w:rsidP="009137D3">
            <w:pPr>
              <w:jc w:val="center"/>
              <w:rPr>
                <w:rFonts w:ascii="Arial" w:hAnsi="Arial" w:cs="Arial"/>
                <w:b/>
                <w:bCs/>
                <w:color w:val="000000"/>
                <w:sz w:val="18"/>
                <w:szCs w:val="18"/>
              </w:rPr>
            </w:pPr>
            <w:r>
              <w:rPr>
                <w:rFonts w:ascii="Arial" w:hAnsi="Arial" w:cs="Arial"/>
                <w:b/>
                <w:bCs/>
                <w:color w:val="000000"/>
                <w:sz w:val="18"/>
                <w:szCs w:val="18"/>
                <w:lang w:val="es-ES_tradnl"/>
              </w:rPr>
              <w:t>Tasa de Redescuento</w:t>
            </w:r>
          </w:p>
        </w:tc>
        <w:tc>
          <w:tcPr>
            <w:tcW w:w="534" w:type="pct"/>
            <w:tcBorders>
              <w:top w:val="single" w:sz="8" w:space="0" w:color="auto"/>
              <w:left w:val="nil"/>
              <w:bottom w:val="nil"/>
              <w:right w:val="nil"/>
            </w:tcBorders>
            <w:shd w:val="clear" w:color="auto" w:fill="FFFFFF" w:themeFill="background1"/>
            <w:noWrap/>
            <w:vAlign w:val="center"/>
            <w:hideMark/>
          </w:tcPr>
          <w:p w14:paraId="79C0EC1C" w14:textId="77777777" w:rsidR="002C13A0" w:rsidRDefault="002C13A0"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Subsidio</w:t>
            </w:r>
          </w:p>
          <w:p w14:paraId="4D8B13F5" w14:textId="0D25E0EA" w:rsidR="00EB680B" w:rsidRDefault="00EB680B"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c>
          <w:tcPr>
            <w:tcW w:w="854" w:type="pct"/>
            <w:tcBorders>
              <w:top w:val="single" w:sz="8" w:space="0" w:color="auto"/>
              <w:left w:val="nil"/>
              <w:bottom w:val="nil"/>
              <w:right w:val="nil"/>
            </w:tcBorders>
            <w:shd w:val="clear" w:color="auto" w:fill="FFFFFF" w:themeFill="background1"/>
            <w:vAlign w:val="center"/>
            <w:hideMark/>
          </w:tcPr>
          <w:p w14:paraId="7A52AA5D" w14:textId="77777777" w:rsidR="002C13A0" w:rsidRDefault="002C13A0"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Tasa de Interés con Subsidio</w:t>
            </w:r>
          </w:p>
          <w:p w14:paraId="6B8971D9" w14:textId="4B9E5F57" w:rsidR="00EB680B" w:rsidRDefault="00EB680B" w:rsidP="009137D3">
            <w:pPr>
              <w:jc w:val="center"/>
              <w:rPr>
                <w:rFonts w:ascii="Arial" w:hAnsi="Arial" w:cs="Arial"/>
                <w:b/>
                <w:bCs/>
                <w:color w:val="000000"/>
                <w:sz w:val="18"/>
                <w:szCs w:val="18"/>
              </w:rPr>
            </w:pPr>
            <w:r>
              <w:rPr>
                <w:rFonts w:ascii="Arial" w:hAnsi="Arial" w:cs="Arial"/>
                <w:b/>
                <w:bCs/>
                <w:color w:val="000000"/>
                <w:sz w:val="18"/>
                <w:szCs w:val="18"/>
                <w:lang w:val="es-ES_tradnl"/>
              </w:rPr>
              <w:t>(Hasta)</w:t>
            </w:r>
          </w:p>
        </w:tc>
        <w:tc>
          <w:tcPr>
            <w:tcW w:w="696" w:type="pct"/>
            <w:tcBorders>
              <w:top w:val="single" w:sz="8" w:space="0" w:color="auto"/>
              <w:left w:val="nil"/>
              <w:bottom w:val="nil"/>
              <w:right w:val="nil"/>
            </w:tcBorders>
            <w:shd w:val="clear" w:color="auto" w:fill="FFFFFF" w:themeFill="background1"/>
            <w:vAlign w:val="center"/>
            <w:hideMark/>
          </w:tcPr>
          <w:p w14:paraId="12E1757D" w14:textId="77777777" w:rsidR="002C13A0" w:rsidRDefault="002C13A0" w:rsidP="009137D3">
            <w:pPr>
              <w:jc w:val="center"/>
              <w:rPr>
                <w:rFonts w:ascii="Arial" w:hAnsi="Arial" w:cs="Arial"/>
                <w:b/>
                <w:bCs/>
                <w:color w:val="000000"/>
                <w:sz w:val="18"/>
                <w:szCs w:val="18"/>
              </w:rPr>
            </w:pPr>
            <w:r>
              <w:rPr>
                <w:rFonts w:ascii="Arial" w:hAnsi="Arial" w:cs="Arial"/>
                <w:b/>
                <w:bCs/>
                <w:color w:val="000000"/>
                <w:sz w:val="18"/>
                <w:szCs w:val="18"/>
                <w:lang w:val="es-ES_tradnl"/>
              </w:rPr>
              <w:t>Subsidio Adicional**</w:t>
            </w:r>
          </w:p>
        </w:tc>
        <w:tc>
          <w:tcPr>
            <w:tcW w:w="750" w:type="pct"/>
            <w:tcBorders>
              <w:top w:val="single" w:sz="8" w:space="0" w:color="auto"/>
              <w:left w:val="nil"/>
              <w:bottom w:val="nil"/>
              <w:right w:val="nil"/>
            </w:tcBorders>
            <w:shd w:val="clear" w:color="auto" w:fill="FFFFFF" w:themeFill="background1"/>
            <w:vAlign w:val="center"/>
            <w:hideMark/>
          </w:tcPr>
          <w:p w14:paraId="7922E487" w14:textId="77777777" w:rsidR="002C13A0" w:rsidRDefault="002C13A0" w:rsidP="009137D3">
            <w:pPr>
              <w:jc w:val="center"/>
              <w:rPr>
                <w:rFonts w:ascii="Arial" w:hAnsi="Arial" w:cs="Arial"/>
                <w:b/>
                <w:bCs/>
                <w:color w:val="000000"/>
                <w:sz w:val="18"/>
                <w:szCs w:val="18"/>
                <w:lang w:val="es-ES_tradnl"/>
              </w:rPr>
            </w:pPr>
            <w:r>
              <w:rPr>
                <w:rFonts w:ascii="Arial" w:hAnsi="Arial" w:cs="Arial"/>
                <w:b/>
                <w:bCs/>
                <w:color w:val="000000"/>
                <w:sz w:val="18"/>
                <w:szCs w:val="18"/>
                <w:lang w:val="es-ES_tradnl"/>
              </w:rPr>
              <w:t>Tasa de interés con subsidio adicional</w:t>
            </w:r>
          </w:p>
          <w:p w14:paraId="6E65065D" w14:textId="40DA1D32" w:rsidR="00EB680B" w:rsidRDefault="00EB680B" w:rsidP="009137D3">
            <w:pPr>
              <w:jc w:val="center"/>
              <w:rPr>
                <w:rFonts w:ascii="Arial" w:hAnsi="Arial" w:cs="Arial"/>
                <w:b/>
                <w:bCs/>
                <w:color w:val="000000"/>
                <w:sz w:val="18"/>
                <w:szCs w:val="18"/>
              </w:rPr>
            </w:pPr>
            <w:r>
              <w:rPr>
                <w:rFonts w:ascii="Arial" w:hAnsi="Arial" w:cs="Arial"/>
                <w:b/>
                <w:bCs/>
                <w:color w:val="000000"/>
                <w:sz w:val="18"/>
                <w:szCs w:val="18"/>
              </w:rPr>
              <w:t>(Hasta)</w:t>
            </w:r>
          </w:p>
        </w:tc>
      </w:tr>
      <w:tr w:rsidR="002C13A0" w14:paraId="638A36FC" w14:textId="77777777" w:rsidTr="06457A15">
        <w:trPr>
          <w:trHeight w:val="1860"/>
        </w:trPr>
        <w:tc>
          <w:tcPr>
            <w:tcW w:w="722" w:type="pct"/>
            <w:vMerge w:val="restart"/>
            <w:tcBorders>
              <w:top w:val="single" w:sz="8" w:space="0" w:color="auto"/>
              <w:left w:val="nil"/>
              <w:bottom w:val="single" w:sz="8" w:space="0" w:color="000000" w:themeColor="text1"/>
              <w:right w:val="nil"/>
            </w:tcBorders>
            <w:shd w:val="clear" w:color="auto" w:fill="FFFFFF" w:themeFill="background1"/>
            <w:vAlign w:val="center"/>
            <w:hideMark/>
          </w:tcPr>
          <w:p w14:paraId="2C109474" w14:textId="77777777" w:rsidR="002C13A0" w:rsidRDefault="002C13A0" w:rsidP="009137D3">
            <w:pPr>
              <w:jc w:val="center"/>
              <w:rPr>
                <w:rFonts w:ascii="Arial" w:hAnsi="Arial" w:cs="Arial"/>
                <w:color w:val="000000"/>
                <w:sz w:val="18"/>
                <w:szCs w:val="18"/>
              </w:rPr>
            </w:pPr>
            <w:r>
              <w:rPr>
                <w:rFonts w:ascii="Arial" w:hAnsi="Arial" w:cs="Arial"/>
                <w:color w:val="000000"/>
                <w:sz w:val="18"/>
                <w:szCs w:val="18"/>
              </w:rPr>
              <w:t>Pequeño Productor de ingresos bajos</w:t>
            </w:r>
          </w:p>
        </w:tc>
        <w:tc>
          <w:tcPr>
            <w:tcW w:w="722" w:type="pct"/>
            <w:tcBorders>
              <w:top w:val="single" w:sz="8" w:space="0" w:color="auto"/>
              <w:left w:val="nil"/>
              <w:bottom w:val="single" w:sz="8" w:space="0" w:color="auto"/>
              <w:right w:val="nil"/>
            </w:tcBorders>
            <w:shd w:val="clear" w:color="auto" w:fill="FFFFFF" w:themeFill="background1"/>
            <w:vAlign w:val="center"/>
            <w:hideMark/>
          </w:tcPr>
          <w:p w14:paraId="131BFF9C" w14:textId="2A67E2A1" w:rsidR="002C13A0" w:rsidRDefault="4B1916EE" w:rsidP="009137D3">
            <w:pPr>
              <w:rPr>
                <w:rFonts w:ascii="Arial" w:hAnsi="Arial" w:cs="Arial"/>
                <w:color w:val="000000"/>
                <w:sz w:val="18"/>
                <w:szCs w:val="18"/>
              </w:rPr>
            </w:pPr>
            <w:r w:rsidRPr="73CC8A29">
              <w:rPr>
                <w:rFonts w:ascii="Arial" w:hAnsi="Arial" w:cs="Arial"/>
                <w:color w:val="000000" w:themeColor="text1"/>
                <w:sz w:val="18"/>
                <w:szCs w:val="18"/>
              </w:rPr>
              <w:t>Pequeño de productor de ingresos bajos, Joven rural y Comunidades Negras, Afrocolombianas, Raizales y Palenqueras (NARP), Comunidades indígenas y étnicas</w:t>
            </w:r>
            <w:r w:rsidR="6690D04A" w:rsidRPr="73CC8A29">
              <w:rPr>
                <w:rFonts w:ascii="Arial" w:hAnsi="Arial" w:cs="Arial"/>
                <w:color w:val="000000" w:themeColor="text1"/>
                <w:sz w:val="18"/>
                <w:szCs w:val="18"/>
              </w:rPr>
              <w:t xml:space="preserve"> (incluid</w:t>
            </w:r>
            <w:r w:rsidR="74E3BC90" w:rsidRPr="73CC8A29">
              <w:rPr>
                <w:rFonts w:ascii="Arial" w:hAnsi="Arial" w:cs="Arial"/>
                <w:color w:val="000000" w:themeColor="text1"/>
                <w:sz w:val="18"/>
                <w:szCs w:val="18"/>
              </w:rPr>
              <w:t>os</w:t>
            </w:r>
            <w:r w:rsidR="3F3EE4F2" w:rsidRPr="73CC8A29">
              <w:rPr>
                <w:rFonts w:ascii="Arial" w:hAnsi="Arial" w:cs="Arial"/>
                <w:color w:val="000000" w:themeColor="text1"/>
                <w:sz w:val="18"/>
                <w:szCs w:val="18"/>
              </w:rPr>
              <w:t xml:space="preserve"> los</w:t>
            </w:r>
            <w:r w:rsidR="74E3BC90" w:rsidRPr="73CC8A29">
              <w:rPr>
                <w:rFonts w:ascii="Arial" w:hAnsi="Arial" w:cs="Arial"/>
                <w:color w:val="000000" w:themeColor="text1"/>
                <w:sz w:val="18"/>
                <w:szCs w:val="18"/>
              </w:rPr>
              <w:t xml:space="preserve"> pueblos indígenas de la Guajira</w:t>
            </w:r>
            <w:r w:rsidR="6D12FE53" w:rsidRPr="73CC8A29">
              <w:rPr>
                <w:rFonts w:ascii="Arial" w:hAnsi="Arial" w:cs="Arial"/>
                <w:color w:val="000000" w:themeColor="text1"/>
                <w:sz w:val="18"/>
                <w:szCs w:val="18"/>
              </w:rPr>
              <w:t xml:space="preserve"> y en especial las comunidades </w:t>
            </w:r>
            <w:r w:rsidR="74E3BC90" w:rsidRPr="73CC8A29">
              <w:rPr>
                <w:rFonts w:ascii="Arial" w:hAnsi="Arial" w:cs="Arial"/>
                <w:color w:val="000000" w:themeColor="text1"/>
                <w:sz w:val="18"/>
                <w:szCs w:val="18"/>
              </w:rPr>
              <w:t xml:space="preserve"> </w:t>
            </w:r>
            <w:r w:rsidR="6690D04A" w:rsidRPr="73CC8A29">
              <w:rPr>
                <w:rFonts w:ascii="Arial" w:hAnsi="Arial" w:cs="Arial"/>
                <w:color w:val="000000" w:themeColor="text1"/>
                <w:sz w:val="18"/>
                <w:szCs w:val="18"/>
              </w:rPr>
              <w:t xml:space="preserve">  Wayú</w:t>
            </w:r>
            <w:r w:rsidR="5D862009" w:rsidRPr="73CC8A29">
              <w:rPr>
                <w:rFonts w:ascii="Arial" w:hAnsi="Arial" w:cs="Arial"/>
                <w:color w:val="000000" w:themeColor="text1"/>
                <w:sz w:val="18"/>
                <w:szCs w:val="18"/>
              </w:rPr>
              <w:t>u</w:t>
            </w:r>
            <w:r w:rsidR="6690D04A" w:rsidRPr="73CC8A29">
              <w:rPr>
                <w:rFonts w:ascii="Arial" w:hAnsi="Arial" w:cs="Arial"/>
                <w:color w:val="000000" w:themeColor="text1"/>
                <w:sz w:val="18"/>
                <w:szCs w:val="18"/>
              </w:rPr>
              <w:t>)</w:t>
            </w:r>
            <w:r w:rsidRPr="73CC8A29">
              <w:rPr>
                <w:rFonts w:ascii="Arial" w:hAnsi="Arial" w:cs="Arial"/>
                <w:color w:val="000000" w:themeColor="text1"/>
                <w:sz w:val="18"/>
                <w:szCs w:val="18"/>
              </w:rPr>
              <w:t>, población con discapacidad, Población LGBTIQ+ OSIGD, Productores en Zonas de Reserva Campesina, Campesino, Población adulto mayor.</w:t>
            </w:r>
          </w:p>
        </w:tc>
        <w:tc>
          <w:tcPr>
            <w:tcW w:w="722" w:type="pct"/>
            <w:tcBorders>
              <w:top w:val="single" w:sz="8" w:space="0" w:color="auto"/>
              <w:left w:val="nil"/>
              <w:bottom w:val="single" w:sz="8" w:space="0" w:color="auto"/>
              <w:right w:val="nil"/>
            </w:tcBorders>
            <w:shd w:val="clear" w:color="auto" w:fill="FFFFFF" w:themeFill="background1"/>
            <w:noWrap/>
            <w:vAlign w:val="center"/>
            <w:hideMark/>
          </w:tcPr>
          <w:p w14:paraId="3429B281" w14:textId="77777777" w:rsidR="002C13A0" w:rsidRDefault="002C13A0" w:rsidP="009137D3">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single" w:sz="8" w:space="0" w:color="auto"/>
              <w:left w:val="nil"/>
              <w:bottom w:val="single" w:sz="8" w:space="0" w:color="auto"/>
              <w:right w:val="nil"/>
            </w:tcBorders>
            <w:shd w:val="clear" w:color="auto" w:fill="FFFFFF" w:themeFill="background1"/>
            <w:noWrap/>
            <w:vAlign w:val="center"/>
            <w:hideMark/>
          </w:tcPr>
          <w:p w14:paraId="3EB1C67F" w14:textId="4A9AC87C" w:rsidR="002C13A0" w:rsidRDefault="002C13A0" w:rsidP="009137D3">
            <w:pPr>
              <w:jc w:val="center"/>
              <w:rPr>
                <w:rFonts w:ascii="Arial" w:hAnsi="Arial" w:cs="Arial"/>
                <w:color w:val="000000"/>
                <w:sz w:val="18"/>
                <w:szCs w:val="18"/>
              </w:rPr>
            </w:pPr>
            <w:r>
              <w:rPr>
                <w:rFonts w:ascii="Arial" w:hAnsi="Arial" w:cs="Arial"/>
                <w:color w:val="000000"/>
                <w:sz w:val="18"/>
                <w:szCs w:val="18"/>
              </w:rPr>
              <w:t>4% ea</w:t>
            </w:r>
          </w:p>
        </w:tc>
        <w:tc>
          <w:tcPr>
            <w:tcW w:w="854" w:type="pct"/>
            <w:tcBorders>
              <w:top w:val="single" w:sz="8" w:space="0" w:color="auto"/>
              <w:left w:val="nil"/>
              <w:bottom w:val="single" w:sz="8" w:space="0" w:color="auto"/>
              <w:right w:val="nil"/>
            </w:tcBorders>
            <w:shd w:val="clear" w:color="auto" w:fill="FFFFFF" w:themeFill="background1"/>
            <w:noWrap/>
            <w:vAlign w:val="center"/>
            <w:hideMark/>
          </w:tcPr>
          <w:p w14:paraId="4518C27D" w14:textId="2F0A2520" w:rsidR="002C13A0" w:rsidRDefault="002C13A0" w:rsidP="009137D3">
            <w:pPr>
              <w:jc w:val="center"/>
              <w:rPr>
                <w:rFonts w:ascii="Arial" w:hAnsi="Arial" w:cs="Arial"/>
                <w:color w:val="000000"/>
                <w:sz w:val="18"/>
                <w:szCs w:val="18"/>
              </w:rPr>
            </w:pPr>
            <w:r>
              <w:rPr>
                <w:rFonts w:ascii="Arial" w:hAnsi="Arial" w:cs="Arial"/>
                <w:color w:val="000000"/>
                <w:sz w:val="18"/>
                <w:szCs w:val="18"/>
              </w:rPr>
              <w:t>IBR + 1,7%</w:t>
            </w:r>
          </w:p>
        </w:tc>
        <w:tc>
          <w:tcPr>
            <w:tcW w:w="696" w:type="pct"/>
            <w:tcBorders>
              <w:top w:val="single" w:sz="8" w:space="0" w:color="auto"/>
              <w:left w:val="nil"/>
              <w:bottom w:val="single" w:sz="8" w:space="0" w:color="auto"/>
              <w:right w:val="nil"/>
            </w:tcBorders>
            <w:shd w:val="clear" w:color="auto" w:fill="FFFFFF" w:themeFill="background1"/>
            <w:vAlign w:val="center"/>
            <w:hideMark/>
          </w:tcPr>
          <w:p w14:paraId="61EA12C5" w14:textId="57660B3F" w:rsidR="002C13A0" w:rsidRDefault="00BE235E" w:rsidP="009137D3">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single" w:sz="8" w:space="0" w:color="auto"/>
              <w:left w:val="nil"/>
              <w:bottom w:val="single" w:sz="8" w:space="0" w:color="auto"/>
              <w:right w:val="nil"/>
            </w:tcBorders>
            <w:shd w:val="clear" w:color="auto" w:fill="FFFFFF" w:themeFill="background1"/>
            <w:noWrap/>
            <w:vAlign w:val="center"/>
            <w:hideMark/>
          </w:tcPr>
          <w:p w14:paraId="6BDEF5D7" w14:textId="333EFB91" w:rsidR="002C13A0" w:rsidRDefault="002C13A0" w:rsidP="009137D3">
            <w:pPr>
              <w:jc w:val="center"/>
              <w:rPr>
                <w:rFonts w:ascii="Arial" w:hAnsi="Arial" w:cs="Arial"/>
                <w:color w:val="000000"/>
                <w:sz w:val="18"/>
                <w:szCs w:val="18"/>
              </w:rPr>
            </w:pPr>
            <w:r>
              <w:rPr>
                <w:rFonts w:ascii="Arial" w:hAnsi="Arial" w:cs="Arial"/>
                <w:color w:val="000000"/>
                <w:sz w:val="18"/>
                <w:szCs w:val="18"/>
              </w:rPr>
              <w:t>IBR + 0,7%</w:t>
            </w:r>
          </w:p>
        </w:tc>
      </w:tr>
      <w:tr w:rsidR="008E17DC" w14:paraId="392B7AE5" w14:textId="77777777" w:rsidTr="06457A15">
        <w:trPr>
          <w:trHeight w:val="240"/>
        </w:trPr>
        <w:tc>
          <w:tcPr>
            <w:tcW w:w="722" w:type="pct"/>
            <w:vMerge/>
            <w:vAlign w:val="center"/>
            <w:hideMark/>
          </w:tcPr>
          <w:p w14:paraId="486C4161"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7C150C4A" w14:textId="77777777" w:rsidR="008E17DC" w:rsidRDefault="008E17DC" w:rsidP="008E17DC">
            <w:pPr>
              <w:rPr>
                <w:rFonts w:ascii="Arial" w:hAnsi="Arial" w:cs="Arial"/>
                <w:color w:val="000000"/>
                <w:sz w:val="18"/>
                <w:szCs w:val="18"/>
              </w:rPr>
            </w:pPr>
            <w:r>
              <w:rPr>
                <w:rFonts w:ascii="Arial" w:hAnsi="Arial" w:cs="Arial"/>
                <w:color w:val="000000"/>
                <w:sz w:val="18"/>
                <w:szCs w:val="18"/>
              </w:rPr>
              <w:t>Mujer Rural</w:t>
            </w:r>
          </w:p>
        </w:tc>
        <w:tc>
          <w:tcPr>
            <w:tcW w:w="722" w:type="pct"/>
            <w:tcBorders>
              <w:top w:val="nil"/>
              <w:left w:val="nil"/>
              <w:bottom w:val="single" w:sz="8" w:space="0" w:color="auto"/>
              <w:right w:val="nil"/>
            </w:tcBorders>
            <w:shd w:val="clear" w:color="auto" w:fill="FFFFFF" w:themeFill="background1"/>
            <w:noWrap/>
            <w:vAlign w:val="center"/>
            <w:hideMark/>
          </w:tcPr>
          <w:p w14:paraId="4E855BDB"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nil"/>
              <w:left w:val="nil"/>
              <w:bottom w:val="single" w:sz="8" w:space="0" w:color="auto"/>
              <w:right w:val="nil"/>
            </w:tcBorders>
            <w:shd w:val="clear" w:color="auto" w:fill="FFFFFF" w:themeFill="background1"/>
            <w:noWrap/>
            <w:vAlign w:val="center"/>
            <w:hideMark/>
          </w:tcPr>
          <w:p w14:paraId="6D21CCD4" w14:textId="1245B355"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44BBCCEA" w14:textId="16FD8C90" w:rsidR="008E17DC" w:rsidRDefault="008E17DC" w:rsidP="008E17DC">
            <w:pPr>
              <w:jc w:val="center"/>
              <w:rPr>
                <w:rFonts w:ascii="Arial" w:hAnsi="Arial" w:cs="Arial"/>
                <w:color w:val="000000"/>
                <w:sz w:val="18"/>
                <w:szCs w:val="18"/>
              </w:rPr>
            </w:pPr>
            <w:r>
              <w:rPr>
                <w:rFonts w:ascii="Arial" w:hAnsi="Arial" w:cs="Arial"/>
                <w:color w:val="000000"/>
                <w:sz w:val="18"/>
                <w:szCs w:val="18"/>
              </w:rPr>
              <w:t>IBR - 1,2%</w:t>
            </w:r>
          </w:p>
        </w:tc>
        <w:tc>
          <w:tcPr>
            <w:tcW w:w="696" w:type="pct"/>
            <w:tcBorders>
              <w:top w:val="nil"/>
              <w:left w:val="nil"/>
              <w:bottom w:val="single" w:sz="8" w:space="0" w:color="auto"/>
              <w:right w:val="nil"/>
            </w:tcBorders>
            <w:shd w:val="clear" w:color="auto" w:fill="FFFFFF" w:themeFill="background1"/>
            <w:vAlign w:val="center"/>
            <w:hideMark/>
          </w:tcPr>
          <w:p w14:paraId="73B0F60F" w14:textId="3F7DC7B7" w:rsidR="008E17DC" w:rsidRDefault="00BE235E" w:rsidP="008E17DC">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66DCA179" w14:textId="2913B0B1" w:rsidR="008E17DC" w:rsidRDefault="008E17DC" w:rsidP="008E17DC">
            <w:pPr>
              <w:rPr>
                <w:rFonts w:ascii="Arial" w:hAnsi="Arial" w:cs="Arial"/>
                <w:color w:val="000000"/>
                <w:sz w:val="18"/>
                <w:szCs w:val="18"/>
              </w:rPr>
            </w:pPr>
            <w:r>
              <w:rPr>
                <w:rFonts w:ascii="Arial" w:hAnsi="Arial" w:cs="Arial"/>
                <w:color w:val="000000"/>
                <w:sz w:val="18"/>
                <w:szCs w:val="18"/>
              </w:rPr>
              <w:t>IBR + 0,2%</w:t>
            </w:r>
          </w:p>
        </w:tc>
      </w:tr>
      <w:tr w:rsidR="008E17DC" w14:paraId="6D62FF0F" w14:textId="77777777" w:rsidTr="06457A15">
        <w:trPr>
          <w:trHeight w:val="930"/>
        </w:trPr>
        <w:tc>
          <w:tcPr>
            <w:tcW w:w="722" w:type="pct"/>
            <w:vMerge/>
            <w:vAlign w:val="center"/>
            <w:hideMark/>
          </w:tcPr>
          <w:p w14:paraId="54167829"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7D0C95FB" w14:textId="77777777" w:rsidR="008E17DC" w:rsidRDefault="008E17DC" w:rsidP="008E17DC">
            <w:pPr>
              <w:rPr>
                <w:rFonts w:ascii="Arial" w:hAnsi="Arial" w:cs="Arial"/>
                <w:color w:val="000000"/>
                <w:sz w:val="18"/>
                <w:szCs w:val="18"/>
              </w:rPr>
            </w:pPr>
            <w:r>
              <w:rPr>
                <w:rFonts w:ascii="Arial" w:hAnsi="Arial" w:cs="Arial"/>
                <w:color w:val="000000"/>
                <w:sz w:val="18"/>
                <w:szCs w:val="18"/>
              </w:rPr>
              <w:t xml:space="preserve">Población calificada como Víctima, población Desmovilizada, Reinsertada y Reincorporada y población </w:t>
            </w:r>
            <w:r>
              <w:rPr>
                <w:rFonts w:ascii="Arial" w:hAnsi="Arial" w:cs="Arial"/>
                <w:color w:val="000000"/>
                <w:sz w:val="18"/>
                <w:szCs w:val="18"/>
              </w:rPr>
              <w:lastRenderedPageBreak/>
              <w:t>vinculada a los programas PNIS.</w:t>
            </w:r>
          </w:p>
        </w:tc>
        <w:tc>
          <w:tcPr>
            <w:tcW w:w="722" w:type="pct"/>
            <w:tcBorders>
              <w:top w:val="nil"/>
              <w:left w:val="nil"/>
              <w:bottom w:val="single" w:sz="8" w:space="0" w:color="auto"/>
              <w:right w:val="nil"/>
            </w:tcBorders>
            <w:shd w:val="clear" w:color="auto" w:fill="FFFFFF" w:themeFill="background1"/>
            <w:noWrap/>
            <w:vAlign w:val="center"/>
            <w:hideMark/>
          </w:tcPr>
          <w:p w14:paraId="66E2BD43"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lastRenderedPageBreak/>
              <w:t>IBR - 3,5%</w:t>
            </w:r>
          </w:p>
        </w:tc>
        <w:tc>
          <w:tcPr>
            <w:tcW w:w="534" w:type="pct"/>
            <w:tcBorders>
              <w:top w:val="nil"/>
              <w:left w:val="nil"/>
              <w:bottom w:val="single" w:sz="8" w:space="0" w:color="auto"/>
              <w:right w:val="nil"/>
            </w:tcBorders>
            <w:shd w:val="clear" w:color="auto" w:fill="FFFFFF" w:themeFill="background1"/>
            <w:noWrap/>
            <w:vAlign w:val="center"/>
            <w:hideMark/>
          </w:tcPr>
          <w:p w14:paraId="23838F94" w14:textId="22DE0194"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0927EB3F" w14:textId="3391876B" w:rsidR="008E17DC" w:rsidRDefault="008E17DC" w:rsidP="008E17DC">
            <w:pPr>
              <w:jc w:val="center"/>
              <w:rPr>
                <w:rFonts w:ascii="Arial" w:hAnsi="Arial" w:cs="Arial"/>
                <w:color w:val="000000"/>
                <w:sz w:val="18"/>
                <w:szCs w:val="18"/>
              </w:rPr>
            </w:pPr>
            <w:r>
              <w:rPr>
                <w:rFonts w:ascii="Arial" w:hAnsi="Arial" w:cs="Arial"/>
                <w:color w:val="000000"/>
                <w:sz w:val="18"/>
                <w:szCs w:val="18"/>
              </w:rPr>
              <w:t>IBR - 4,1%</w:t>
            </w:r>
          </w:p>
        </w:tc>
        <w:tc>
          <w:tcPr>
            <w:tcW w:w="696" w:type="pct"/>
            <w:tcBorders>
              <w:top w:val="nil"/>
              <w:left w:val="nil"/>
              <w:bottom w:val="single" w:sz="8" w:space="0" w:color="auto"/>
              <w:right w:val="nil"/>
            </w:tcBorders>
            <w:shd w:val="clear" w:color="auto" w:fill="FFFFFF" w:themeFill="background1"/>
            <w:vAlign w:val="center"/>
            <w:hideMark/>
          </w:tcPr>
          <w:p w14:paraId="5B78987E" w14:textId="09841B59" w:rsidR="008E17DC" w:rsidRDefault="00BE235E" w:rsidP="008E17DC">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3C7EF3FD" w14:textId="38B82481" w:rsidR="008E17DC" w:rsidRDefault="008E17DC" w:rsidP="008E17DC">
            <w:pPr>
              <w:rPr>
                <w:rFonts w:ascii="Arial" w:hAnsi="Arial" w:cs="Arial"/>
                <w:color w:val="000000"/>
                <w:sz w:val="18"/>
                <w:szCs w:val="18"/>
              </w:rPr>
            </w:pPr>
            <w:r>
              <w:rPr>
                <w:rFonts w:ascii="Arial" w:hAnsi="Arial" w:cs="Arial"/>
                <w:color w:val="000000"/>
                <w:sz w:val="18"/>
                <w:szCs w:val="18"/>
              </w:rPr>
              <w:t>IBR -5,1%</w:t>
            </w:r>
          </w:p>
        </w:tc>
      </w:tr>
      <w:tr w:rsidR="008E17DC" w14:paraId="64B3FF2B" w14:textId="77777777" w:rsidTr="06457A15">
        <w:trPr>
          <w:trHeight w:val="1620"/>
        </w:trPr>
        <w:tc>
          <w:tcPr>
            <w:tcW w:w="722" w:type="pct"/>
            <w:vMerge w:val="restart"/>
            <w:tcBorders>
              <w:top w:val="nil"/>
              <w:left w:val="nil"/>
              <w:bottom w:val="single" w:sz="8" w:space="0" w:color="000000" w:themeColor="text1"/>
              <w:right w:val="nil"/>
            </w:tcBorders>
            <w:shd w:val="clear" w:color="auto" w:fill="FFFFFF" w:themeFill="background1"/>
            <w:vAlign w:val="center"/>
            <w:hideMark/>
          </w:tcPr>
          <w:p w14:paraId="09DFCD9A"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Pequeño Productor</w:t>
            </w:r>
          </w:p>
        </w:tc>
        <w:tc>
          <w:tcPr>
            <w:tcW w:w="722" w:type="pct"/>
            <w:tcBorders>
              <w:top w:val="nil"/>
              <w:left w:val="nil"/>
              <w:bottom w:val="single" w:sz="8" w:space="0" w:color="auto"/>
              <w:right w:val="nil"/>
            </w:tcBorders>
            <w:shd w:val="clear" w:color="auto" w:fill="FFFFFF" w:themeFill="background1"/>
            <w:vAlign w:val="center"/>
            <w:hideMark/>
          </w:tcPr>
          <w:p w14:paraId="69DF36D4" w14:textId="4D754E8A" w:rsidR="008E17DC" w:rsidRDefault="53F35BE9" w:rsidP="73CC8A29">
            <w:pPr>
              <w:rPr>
                <w:rFonts w:ascii="Arial" w:hAnsi="Arial" w:cs="Arial"/>
                <w:color w:val="000000"/>
                <w:sz w:val="18"/>
                <w:szCs w:val="18"/>
              </w:rPr>
            </w:pPr>
            <w:r w:rsidRPr="06457A15">
              <w:rPr>
                <w:rFonts w:ascii="Arial" w:hAnsi="Arial" w:cs="Arial"/>
                <w:color w:val="000000" w:themeColor="text1"/>
                <w:sz w:val="18"/>
                <w:szCs w:val="18"/>
              </w:rPr>
              <w:t>Pequeño productor, Joven rural, y Comunidades Negras, Afrocolombianas, Raizales y Palenqueras (NARP), Comunidades indígenas y étnicas</w:t>
            </w:r>
            <w:r w:rsidR="5BD7D49E" w:rsidRPr="06457A15">
              <w:rPr>
                <w:rFonts w:ascii="Arial" w:hAnsi="Arial" w:cs="Arial"/>
                <w:color w:val="000000" w:themeColor="text1"/>
                <w:sz w:val="18"/>
                <w:szCs w:val="18"/>
              </w:rPr>
              <w:t xml:space="preserve"> (incluid</w:t>
            </w:r>
            <w:r w:rsidR="577DFA32" w:rsidRPr="06457A15">
              <w:rPr>
                <w:rFonts w:ascii="Arial" w:hAnsi="Arial" w:cs="Arial"/>
                <w:color w:val="000000" w:themeColor="text1"/>
                <w:sz w:val="18"/>
                <w:szCs w:val="18"/>
              </w:rPr>
              <w:t>os los pueblos indígenas de la Guajira y en especial las comunidad</w:t>
            </w:r>
            <w:r w:rsidR="00FC1F28" w:rsidRPr="06457A15">
              <w:rPr>
                <w:rFonts w:ascii="Arial" w:hAnsi="Arial" w:cs="Arial"/>
                <w:color w:val="000000" w:themeColor="text1"/>
                <w:sz w:val="18"/>
                <w:szCs w:val="18"/>
              </w:rPr>
              <w:t>e</w:t>
            </w:r>
            <w:r w:rsidR="6D75A7A6" w:rsidRPr="06457A15">
              <w:rPr>
                <w:rFonts w:ascii="Arial" w:hAnsi="Arial" w:cs="Arial"/>
                <w:color w:val="000000" w:themeColor="text1"/>
                <w:sz w:val="18"/>
                <w:szCs w:val="18"/>
              </w:rPr>
              <w:t>s</w:t>
            </w:r>
            <w:r w:rsidR="5BD7D49E" w:rsidRPr="06457A15">
              <w:rPr>
                <w:rFonts w:ascii="Arial" w:hAnsi="Arial" w:cs="Arial"/>
                <w:color w:val="000000" w:themeColor="text1"/>
                <w:sz w:val="18"/>
                <w:szCs w:val="18"/>
              </w:rPr>
              <w:t xml:space="preserve"> Wayú</w:t>
            </w:r>
            <w:r w:rsidR="0EEED221" w:rsidRPr="06457A15">
              <w:rPr>
                <w:rFonts w:ascii="Arial" w:hAnsi="Arial" w:cs="Arial"/>
                <w:color w:val="000000" w:themeColor="text1"/>
                <w:sz w:val="18"/>
                <w:szCs w:val="18"/>
              </w:rPr>
              <w:t>u</w:t>
            </w:r>
            <w:r w:rsidR="5BD7D49E" w:rsidRPr="06457A15">
              <w:rPr>
                <w:rFonts w:ascii="Arial" w:hAnsi="Arial" w:cs="Arial"/>
                <w:color w:val="000000" w:themeColor="text1"/>
                <w:sz w:val="18"/>
                <w:szCs w:val="18"/>
              </w:rPr>
              <w:t>)</w:t>
            </w:r>
            <w:r w:rsidRPr="06457A15">
              <w:rPr>
                <w:rFonts w:ascii="Arial" w:hAnsi="Arial" w:cs="Arial"/>
                <w:color w:val="000000" w:themeColor="text1"/>
                <w:sz w:val="18"/>
                <w:szCs w:val="18"/>
              </w:rPr>
              <w:t>, Población con discapacidad, Población LGBTIQ+ OSIGD, Campesino, Población adulto mayor.</w:t>
            </w:r>
          </w:p>
        </w:tc>
        <w:tc>
          <w:tcPr>
            <w:tcW w:w="722" w:type="pct"/>
            <w:tcBorders>
              <w:top w:val="nil"/>
              <w:left w:val="nil"/>
              <w:bottom w:val="single" w:sz="8" w:space="0" w:color="auto"/>
              <w:right w:val="nil"/>
            </w:tcBorders>
            <w:shd w:val="clear" w:color="auto" w:fill="FFFFFF" w:themeFill="background1"/>
            <w:noWrap/>
            <w:vAlign w:val="center"/>
            <w:hideMark/>
          </w:tcPr>
          <w:p w14:paraId="33475176"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nil"/>
              <w:left w:val="nil"/>
              <w:bottom w:val="single" w:sz="8" w:space="0" w:color="auto"/>
              <w:right w:val="nil"/>
            </w:tcBorders>
            <w:shd w:val="clear" w:color="auto" w:fill="FFFFFF" w:themeFill="background1"/>
            <w:noWrap/>
            <w:vAlign w:val="center"/>
            <w:hideMark/>
          </w:tcPr>
          <w:p w14:paraId="520CEBAA" w14:textId="2F44437C" w:rsidR="008E17DC" w:rsidRDefault="008E17DC" w:rsidP="008E17DC">
            <w:pPr>
              <w:jc w:val="center"/>
              <w:rPr>
                <w:rFonts w:ascii="Arial" w:hAnsi="Arial" w:cs="Arial"/>
                <w:color w:val="000000"/>
                <w:sz w:val="18"/>
                <w:szCs w:val="18"/>
              </w:rPr>
            </w:pPr>
            <w:r>
              <w:rPr>
                <w:rFonts w:ascii="Arial" w:hAnsi="Arial" w:cs="Arial"/>
                <w:color w:val="000000"/>
                <w:sz w:val="18"/>
                <w:szCs w:val="18"/>
              </w:rPr>
              <w:t>3% ea</w:t>
            </w:r>
          </w:p>
        </w:tc>
        <w:tc>
          <w:tcPr>
            <w:tcW w:w="854" w:type="pct"/>
            <w:tcBorders>
              <w:top w:val="nil"/>
              <w:left w:val="nil"/>
              <w:bottom w:val="single" w:sz="8" w:space="0" w:color="auto"/>
              <w:right w:val="nil"/>
            </w:tcBorders>
            <w:shd w:val="clear" w:color="auto" w:fill="FFFFFF" w:themeFill="background1"/>
            <w:noWrap/>
            <w:vAlign w:val="center"/>
            <w:hideMark/>
          </w:tcPr>
          <w:p w14:paraId="54B9C3C1" w14:textId="68DDB852" w:rsidR="008E17DC" w:rsidRDefault="008E17DC" w:rsidP="008E17DC">
            <w:pPr>
              <w:jc w:val="center"/>
              <w:rPr>
                <w:rFonts w:ascii="Arial" w:hAnsi="Arial" w:cs="Arial"/>
                <w:color w:val="000000"/>
                <w:sz w:val="18"/>
                <w:szCs w:val="18"/>
              </w:rPr>
            </w:pPr>
            <w:r>
              <w:rPr>
                <w:rFonts w:ascii="Arial" w:hAnsi="Arial" w:cs="Arial"/>
                <w:color w:val="000000"/>
                <w:sz w:val="18"/>
                <w:szCs w:val="18"/>
              </w:rPr>
              <w:t>IBR + 2,7%</w:t>
            </w:r>
          </w:p>
        </w:tc>
        <w:tc>
          <w:tcPr>
            <w:tcW w:w="696" w:type="pct"/>
            <w:tcBorders>
              <w:top w:val="nil"/>
              <w:left w:val="nil"/>
              <w:bottom w:val="single" w:sz="8" w:space="0" w:color="auto"/>
              <w:right w:val="nil"/>
            </w:tcBorders>
            <w:shd w:val="clear" w:color="auto" w:fill="FFFFFF" w:themeFill="background1"/>
            <w:vAlign w:val="center"/>
            <w:hideMark/>
          </w:tcPr>
          <w:p w14:paraId="7597ABA3" w14:textId="73DDA4D4" w:rsidR="008E17DC" w:rsidRDefault="00BE235E" w:rsidP="008E17DC">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FFFFFF" w:themeFill="background1"/>
            <w:noWrap/>
            <w:vAlign w:val="center"/>
            <w:hideMark/>
          </w:tcPr>
          <w:p w14:paraId="56A074F7" w14:textId="1CF51E8C" w:rsidR="008E17DC" w:rsidRDefault="008E17DC" w:rsidP="008E17DC">
            <w:pPr>
              <w:jc w:val="center"/>
              <w:rPr>
                <w:rFonts w:ascii="Arial" w:hAnsi="Arial" w:cs="Arial"/>
                <w:color w:val="000000"/>
                <w:sz w:val="18"/>
                <w:szCs w:val="18"/>
              </w:rPr>
            </w:pPr>
            <w:r>
              <w:rPr>
                <w:rFonts w:ascii="Arial" w:hAnsi="Arial" w:cs="Arial"/>
                <w:color w:val="000000"/>
                <w:sz w:val="18"/>
                <w:szCs w:val="18"/>
              </w:rPr>
              <w:t>IBR + 1,7%</w:t>
            </w:r>
          </w:p>
        </w:tc>
      </w:tr>
      <w:tr w:rsidR="008E17DC" w14:paraId="52B837B7" w14:textId="77777777" w:rsidTr="06457A15">
        <w:trPr>
          <w:trHeight w:val="240"/>
        </w:trPr>
        <w:tc>
          <w:tcPr>
            <w:tcW w:w="722" w:type="pct"/>
            <w:vMerge/>
            <w:vAlign w:val="center"/>
            <w:hideMark/>
          </w:tcPr>
          <w:p w14:paraId="685113D9"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09735602" w14:textId="77777777" w:rsidR="008E17DC" w:rsidRDefault="008E17DC" w:rsidP="008E17DC">
            <w:pPr>
              <w:rPr>
                <w:rFonts w:ascii="Arial" w:hAnsi="Arial" w:cs="Arial"/>
                <w:color w:val="000000"/>
                <w:sz w:val="18"/>
                <w:szCs w:val="18"/>
              </w:rPr>
            </w:pPr>
            <w:r>
              <w:rPr>
                <w:rFonts w:ascii="Arial" w:hAnsi="Arial" w:cs="Arial"/>
                <w:color w:val="000000"/>
                <w:sz w:val="18"/>
                <w:szCs w:val="18"/>
              </w:rPr>
              <w:t>Mujer Rural</w:t>
            </w:r>
          </w:p>
        </w:tc>
        <w:tc>
          <w:tcPr>
            <w:tcW w:w="722" w:type="pct"/>
            <w:tcBorders>
              <w:top w:val="nil"/>
              <w:left w:val="nil"/>
              <w:bottom w:val="single" w:sz="8" w:space="0" w:color="auto"/>
              <w:right w:val="nil"/>
            </w:tcBorders>
            <w:shd w:val="clear" w:color="auto" w:fill="FFFFFF" w:themeFill="background1"/>
            <w:noWrap/>
            <w:vAlign w:val="center"/>
            <w:hideMark/>
          </w:tcPr>
          <w:p w14:paraId="28B74CF7"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nil"/>
              <w:left w:val="nil"/>
              <w:bottom w:val="single" w:sz="8" w:space="0" w:color="auto"/>
              <w:right w:val="nil"/>
            </w:tcBorders>
            <w:shd w:val="clear" w:color="auto" w:fill="FFFFFF" w:themeFill="background1"/>
            <w:noWrap/>
            <w:vAlign w:val="center"/>
            <w:hideMark/>
          </w:tcPr>
          <w:p w14:paraId="1B106916" w14:textId="3E813F74" w:rsidR="008E17DC" w:rsidRDefault="008E17DC" w:rsidP="008E17DC">
            <w:pPr>
              <w:jc w:val="center"/>
              <w:rPr>
                <w:rFonts w:ascii="Arial" w:hAnsi="Arial" w:cs="Arial"/>
                <w:color w:val="000000"/>
                <w:sz w:val="18"/>
                <w:szCs w:val="18"/>
              </w:rPr>
            </w:pPr>
            <w:r>
              <w:rPr>
                <w:rFonts w:ascii="Arial" w:hAnsi="Arial" w:cs="Arial"/>
                <w:color w:val="000000"/>
                <w:sz w:val="18"/>
                <w:szCs w:val="18"/>
              </w:rPr>
              <w:t>4% ea</w:t>
            </w:r>
          </w:p>
        </w:tc>
        <w:tc>
          <w:tcPr>
            <w:tcW w:w="854" w:type="pct"/>
            <w:tcBorders>
              <w:top w:val="nil"/>
              <w:left w:val="nil"/>
              <w:bottom w:val="single" w:sz="8" w:space="0" w:color="auto"/>
              <w:right w:val="nil"/>
            </w:tcBorders>
            <w:shd w:val="clear" w:color="auto" w:fill="FFFFFF" w:themeFill="background1"/>
            <w:noWrap/>
            <w:vAlign w:val="center"/>
            <w:hideMark/>
          </w:tcPr>
          <w:p w14:paraId="5F9C4429" w14:textId="7F6C0CD8" w:rsidR="008E17DC" w:rsidRDefault="008E17DC" w:rsidP="008E17DC">
            <w:pPr>
              <w:jc w:val="center"/>
              <w:rPr>
                <w:rFonts w:ascii="Arial" w:hAnsi="Arial" w:cs="Arial"/>
                <w:color w:val="000000"/>
                <w:sz w:val="18"/>
                <w:szCs w:val="18"/>
              </w:rPr>
            </w:pPr>
            <w:r>
              <w:rPr>
                <w:rFonts w:ascii="Arial" w:hAnsi="Arial" w:cs="Arial"/>
                <w:color w:val="000000"/>
                <w:sz w:val="18"/>
                <w:szCs w:val="18"/>
              </w:rPr>
              <w:t>IBR - 0,2%</w:t>
            </w:r>
          </w:p>
        </w:tc>
        <w:tc>
          <w:tcPr>
            <w:tcW w:w="696" w:type="pct"/>
            <w:tcBorders>
              <w:top w:val="nil"/>
              <w:left w:val="nil"/>
              <w:bottom w:val="single" w:sz="8" w:space="0" w:color="auto"/>
              <w:right w:val="nil"/>
            </w:tcBorders>
            <w:shd w:val="clear" w:color="auto" w:fill="FFFFFF" w:themeFill="background1"/>
            <w:vAlign w:val="center"/>
            <w:hideMark/>
          </w:tcPr>
          <w:p w14:paraId="08EFCA90" w14:textId="37B758C4"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E235E"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bottom"/>
            <w:hideMark/>
          </w:tcPr>
          <w:p w14:paraId="723ABED7" w14:textId="026D01DB" w:rsidR="008E17DC" w:rsidRDefault="008E17DC" w:rsidP="008E17DC">
            <w:pPr>
              <w:rPr>
                <w:rFonts w:ascii="Arial" w:hAnsi="Arial" w:cs="Arial"/>
                <w:color w:val="000000"/>
                <w:sz w:val="18"/>
                <w:szCs w:val="18"/>
              </w:rPr>
            </w:pPr>
            <w:r>
              <w:rPr>
                <w:rFonts w:ascii="Arial" w:hAnsi="Arial" w:cs="Arial"/>
                <w:color w:val="000000"/>
                <w:sz w:val="18"/>
                <w:szCs w:val="18"/>
              </w:rPr>
              <w:t> </w:t>
            </w:r>
            <w:r w:rsidR="00735B4F">
              <w:rPr>
                <w:rFonts w:ascii="Arial" w:hAnsi="Arial" w:cs="Arial"/>
                <w:color w:val="000000"/>
                <w:sz w:val="18"/>
                <w:szCs w:val="18"/>
              </w:rPr>
              <w:t>IBR - 1,2%</w:t>
            </w:r>
          </w:p>
        </w:tc>
      </w:tr>
      <w:tr w:rsidR="008E17DC" w14:paraId="0D56A90B" w14:textId="77777777" w:rsidTr="06457A15">
        <w:trPr>
          <w:trHeight w:val="930"/>
        </w:trPr>
        <w:tc>
          <w:tcPr>
            <w:tcW w:w="722" w:type="pct"/>
            <w:vMerge/>
            <w:vAlign w:val="center"/>
            <w:hideMark/>
          </w:tcPr>
          <w:p w14:paraId="003E39D5"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6E3D4564" w14:textId="77777777" w:rsidR="008E17DC" w:rsidRDefault="008E17DC" w:rsidP="008E17DC">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722" w:type="pct"/>
            <w:tcBorders>
              <w:top w:val="nil"/>
              <w:left w:val="nil"/>
              <w:bottom w:val="single" w:sz="8" w:space="0" w:color="auto"/>
              <w:right w:val="nil"/>
            </w:tcBorders>
            <w:shd w:val="clear" w:color="auto" w:fill="FFFFFF" w:themeFill="background1"/>
            <w:noWrap/>
            <w:vAlign w:val="center"/>
            <w:hideMark/>
          </w:tcPr>
          <w:p w14:paraId="3F9C0331"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- 3,5%</w:t>
            </w:r>
          </w:p>
        </w:tc>
        <w:tc>
          <w:tcPr>
            <w:tcW w:w="534" w:type="pct"/>
            <w:tcBorders>
              <w:top w:val="nil"/>
              <w:left w:val="nil"/>
              <w:bottom w:val="single" w:sz="8" w:space="0" w:color="auto"/>
              <w:right w:val="nil"/>
            </w:tcBorders>
            <w:shd w:val="clear" w:color="auto" w:fill="FFFFFF" w:themeFill="background1"/>
            <w:noWrap/>
            <w:vAlign w:val="center"/>
            <w:hideMark/>
          </w:tcPr>
          <w:p w14:paraId="5F334C62" w14:textId="2AECF358" w:rsidR="008E17DC" w:rsidRDefault="008E17DC" w:rsidP="008E17DC">
            <w:pPr>
              <w:jc w:val="center"/>
              <w:rPr>
                <w:rFonts w:ascii="Arial" w:hAnsi="Arial" w:cs="Arial"/>
                <w:color w:val="000000"/>
                <w:sz w:val="18"/>
                <w:szCs w:val="18"/>
              </w:rPr>
            </w:pPr>
            <w:r>
              <w:rPr>
                <w:rFonts w:ascii="Arial" w:hAnsi="Arial" w:cs="Arial"/>
                <w:color w:val="000000"/>
                <w:sz w:val="18"/>
                <w:szCs w:val="18"/>
              </w:rPr>
              <w:t>4% ea</w:t>
            </w:r>
          </w:p>
        </w:tc>
        <w:tc>
          <w:tcPr>
            <w:tcW w:w="854" w:type="pct"/>
            <w:tcBorders>
              <w:top w:val="nil"/>
              <w:left w:val="nil"/>
              <w:bottom w:val="single" w:sz="8" w:space="0" w:color="auto"/>
              <w:right w:val="nil"/>
            </w:tcBorders>
            <w:shd w:val="clear" w:color="auto" w:fill="FFFFFF" w:themeFill="background1"/>
            <w:noWrap/>
            <w:vAlign w:val="center"/>
            <w:hideMark/>
          </w:tcPr>
          <w:p w14:paraId="4E0646C8" w14:textId="5F404711" w:rsidR="008E17DC" w:rsidRDefault="008E17DC" w:rsidP="008E17DC">
            <w:pPr>
              <w:jc w:val="center"/>
              <w:rPr>
                <w:rFonts w:ascii="Arial" w:hAnsi="Arial" w:cs="Arial"/>
                <w:color w:val="000000"/>
                <w:sz w:val="18"/>
                <w:szCs w:val="18"/>
              </w:rPr>
            </w:pPr>
            <w:r>
              <w:rPr>
                <w:rFonts w:ascii="Arial" w:hAnsi="Arial" w:cs="Arial"/>
                <w:color w:val="000000"/>
                <w:sz w:val="18"/>
                <w:szCs w:val="18"/>
              </w:rPr>
              <w:t>IBR - 3,1%</w:t>
            </w:r>
          </w:p>
        </w:tc>
        <w:tc>
          <w:tcPr>
            <w:tcW w:w="696" w:type="pct"/>
            <w:tcBorders>
              <w:top w:val="nil"/>
              <w:left w:val="nil"/>
              <w:bottom w:val="single" w:sz="8" w:space="0" w:color="auto"/>
              <w:right w:val="nil"/>
            </w:tcBorders>
            <w:shd w:val="clear" w:color="auto" w:fill="FFFFFF" w:themeFill="background1"/>
            <w:vAlign w:val="center"/>
            <w:hideMark/>
          </w:tcPr>
          <w:p w14:paraId="61D6582C" w14:textId="79C74BC9"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E235E"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770170F0" w14:textId="39C2512A" w:rsidR="008E17DC" w:rsidRDefault="00735B4F" w:rsidP="00735B4F">
            <w:pPr>
              <w:jc w:val="center"/>
              <w:rPr>
                <w:rFonts w:ascii="Arial" w:hAnsi="Arial" w:cs="Arial"/>
                <w:color w:val="000000"/>
                <w:sz w:val="18"/>
                <w:szCs w:val="18"/>
              </w:rPr>
            </w:pPr>
            <w:r>
              <w:rPr>
                <w:rFonts w:ascii="Arial" w:hAnsi="Arial" w:cs="Arial"/>
                <w:color w:val="000000"/>
                <w:sz w:val="18"/>
                <w:szCs w:val="18"/>
              </w:rPr>
              <w:t xml:space="preserve">IBR - </w:t>
            </w:r>
            <w:r w:rsidR="001B0584">
              <w:rPr>
                <w:rFonts w:ascii="Arial" w:hAnsi="Arial" w:cs="Arial"/>
                <w:color w:val="000000"/>
                <w:sz w:val="18"/>
                <w:szCs w:val="18"/>
              </w:rPr>
              <w:t>4</w:t>
            </w:r>
            <w:r>
              <w:rPr>
                <w:rFonts w:ascii="Arial" w:hAnsi="Arial" w:cs="Arial"/>
                <w:color w:val="000000"/>
                <w:sz w:val="18"/>
                <w:szCs w:val="18"/>
              </w:rPr>
              <w:t>,1%</w:t>
            </w:r>
          </w:p>
        </w:tc>
      </w:tr>
      <w:tr w:rsidR="008E17DC" w14:paraId="0DDC40AF" w14:textId="77777777" w:rsidTr="06457A15">
        <w:trPr>
          <w:trHeight w:val="240"/>
        </w:trPr>
        <w:tc>
          <w:tcPr>
            <w:tcW w:w="722" w:type="pct"/>
            <w:vMerge/>
            <w:vAlign w:val="center"/>
            <w:hideMark/>
          </w:tcPr>
          <w:p w14:paraId="509FB63B"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1A1EC7DB" w14:textId="77777777" w:rsidR="008E17DC" w:rsidRDefault="008E17DC" w:rsidP="008E17DC">
            <w:pPr>
              <w:rPr>
                <w:rFonts w:ascii="Arial" w:hAnsi="Arial" w:cs="Arial"/>
                <w:color w:val="000000"/>
                <w:sz w:val="18"/>
                <w:szCs w:val="18"/>
              </w:rPr>
            </w:pPr>
            <w:r>
              <w:rPr>
                <w:rFonts w:ascii="Arial" w:hAnsi="Arial" w:cs="Arial"/>
                <w:color w:val="000000"/>
                <w:sz w:val="18"/>
                <w:szCs w:val="18"/>
              </w:rPr>
              <w:t>Esquema asociativo</w:t>
            </w:r>
          </w:p>
        </w:tc>
        <w:tc>
          <w:tcPr>
            <w:tcW w:w="722" w:type="pct"/>
            <w:tcBorders>
              <w:top w:val="nil"/>
              <w:left w:val="nil"/>
              <w:bottom w:val="single" w:sz="8" w:space="0" w:color="auto"/>
              <w:right w:val="nil"/>
            </w:tcBorders>
            <w:shd w:val="clear" w:color="auto" w:fill="FFFFFF" w:themeFill="background1"/>
            <w:noWrap/>
            <w:vAlign w:val="center"/>
            <w:hideMark/>
          </w:tcPr>
          <w:p w14:paraId="29E5EEE8"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- 3,5%</w:t>
            </w:r>
          </w:p>
        </w:tc>
        <w:tc>
          <w:tcPr>
            <w:tcW w:w="534" w:type="pct"/>
            <w:tcBorders>
              <w:top w:val="nil"/>
              <w:left w:val="nil"/>
              <w:bottom w:val="single" w:sz="8" w:space="0" w:color="auto"/>
              <w:right w:val="nil"/>
            </w:tcBorders>
            <w:shd w:val="clear" w:color="auto" w:fill="FFFFFF" w:themeFill="background1"/>
            <w:noWrap/>
            <w:vAlign w:val="center"/>
            <w:hideMark/>
          </w:tcPr>
          <w:p w14:paraId="750B05A8" w14:textId="6EB07DF0"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42E4F3E5" w14:textId="03DC5D8C" w:rsidR="008E17DC" w:rsidRDefault="008E17DC" w:rsidP="008E17DC">
            <w:pPr>
              <w:jc w:val="center"/>
              <w:rPr>
                <w:rFonts w:ascii="Arial" w:hAnsi="Arial" w:cs="Arial"/>
                <w:color w:val="000000"/>
                <w:sz w:val="18"/>
                <w:szCs w:val="18"/>
              </w:rPr>
            </w:pPr>
            <w:r>
              <w:rPr>
                <w:rFonts w:ascii="Arial" w:hAnsi="Arial" w:cs="Arial"/>
                <w:color w:val="000000"/>
                <w:sz w:val="18"/>
                <w:szCs w:val="18"/>
              </w:rPr>
              <w:t>IBR - 1,2%</w:t>
            </w:r>
          </w:p>
        </w:tc>
        <w:tc>
          <w:tcPr>
            <w:tcW w:w="696" w:type="pct"/>
            <w:tcBorders>
              <w:top w:val="nil"/>
              <w:left w:val="nil"/>
              <w:bottom w:val="single" w:sz="8" w:space="0" w:color="auto"/>
              <w:right w:val="nil"/>
            </w:tcBorders>
            <w:shd w:val="clear" w:color="auto" w:fill="FFFFFF" w:themeFill="background1"/>
            <w:vAlign w:val="center"/>
            <w:hideMark/>
          </w:tcPr>
          <w:p w14:paraId="646D6764" w14:textId="0EF528D3"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E235E"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542440F1" w14:textId="61EF6F0C" w:rsidR="008E17DC" w:rsidRDefault="001B0584" w:rsidP="001B0584">
            <w:pPr>
              <w:jc w:val="center"/>
              <w:rPr>
                <w:rFonts w:ascii="Arial" w:hAnsi="Arial" w:cs="Arial"/>
                <w:color w:val="000000"/>
                <w:sz w:val="18"/>
                <w:szCs w:val="18"/>
              </w:rPr>
            </w:pPr>
            <w:r>
              <w:rPr>
                <w:rFonts w:ascii="Arial" w:hAnsi="Arial" w:cs="Arial"/>
                <w:color w:val="000000"/>
                <w:sz w:val="18"/>
                <w:szCs w:val="18"/>
              </w:rPr>
              <w:t>IBR - 2,2%</w:t>
            </w:r>
          </w:p>
        </w:tc>
      </w:tr>
      <w:tr w:rsidR="008E17DC" w14:paraId="1F09493F" w14:textId="77777777" w:rsidTr="06457A15">
        <w:trPr>
          <w:trHeight w:val="240"/>
        </w:trPr>
        <w:tc>
          <w:tcPr>
            <w:tcW w:w="722" w:type="pct"/>
            <w:vMerge/>
            <w:vAlign w:val="center"/>
            <w:hideMark/>
          </w:tcPr>
          <w:p w14:paraId="55AA38F6"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7E5828D4" w14:textId="77777777" w:rsidR="008E17DC" w:rsidRDefault="008E17DC" w:rsidP="008E17DC">
            <w:pPr>
              <w:rPr>
                <w:rFonts w:ascii="Arial" w:hAnsi="Arial" w:cs="Arial"/>
                <w:color w:val="000000"/>
                <w:sz w:val="18"/>
                <w:szCs w:val="18"/>
              </w:rPr>
            </w:pPr>
            <w:r>
              <w:rPr>
                <w:rFonts w:ascii="Arial" w:hAnsi="Arial" w:cs="Arial"/>
                <w:color w:val="000000"/>
                <w:sz w:val="18"/>
                <w:szCs w:val="18"/>
              </w:rPr>
              <w:t>Esquema integración</w:t>
            </w:r>
          </w:p>
        </w:tc>
        <w:tc>
          <w:tcPr>
            <w:tcW w:w="722" w:type="pct"/>
            <w:tcBorders>
              <w:top w:val="nil"/>
              <w:left w:val="nil"/>
              <w:bottom w:val="single" w:sz="8" w:space="0" w:color="auto"/>
              <w:right w:val="nil"/>
            </w:tcBorders>
            <w:shd w:val="clear" w:color="auto" w:fill="FFFFFF" w:themeFill="background1"/>
            <w:noWrap/>
            <w:vAlign w:val="center"/>
            <w:hideMark/>
          </w:tcPr>
          <w:p w14:paraId="172349B3"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nil"/>
              <w:left w:val="nil"/>
              <w:bottom w:val="single" w:sz="8" w:space="0" w:color="auto"/>
              <w:right w:val="nil"/>
            </w:tcBorders>
            <w:shd w:val="clear" w:color="auto" w:fill="FFFFFF" w:themeFill="background1"/>
            <w:noWrap/>
            <w:vAlign w:val="center"/>
            <w:hideMark/>
          </w:tcPr>
          <w:p w14:paraId="3FCF1518" w14:textId="398406B0"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066914FC" w14:textId="190153EC" w:rsidR="008E17DC" w:rsidRDefault="008E17DC" w:rsidP="008E17DC">
            <w:pPr>
              <w:jc w:val="center"/>
              <w:rPr>
                <w:rFonts w:ascii="Arial" w:hAnsi="Arial" w:cs="Arial"/>
                <w:color w:val="000000"/>
                <w:sz w:val="18"/>
                <w:szCs w:val="18"/>
              </w:rPr>
            </w:pPr>
            <w:r>
              <w:rPr>
                <w:rFonts w:ascii="Arial" w:hAnsi="Arial" w:cs="Arial"/>
                <w:color w:val="000000"/>
                <w:sz w:val="18"/>
                <w:szCs w:val="18"/>
              </w:rPr>
              <w:t>IBR + 0,7%</w:t>
            </w:r>
          </w:p>
        </w:tc>
        <w:tc>
          <w:tcPr>
            <w:tcW w:w="696" w:type="pct"/>
            <w:tcBorders>
              <w:top w:val="nil"/>
              <w:left w:val="nil"/>
              <w:bottom w:val="single" w:sz="8" w:space="0" w:color="auto"/>
              <w:right w:val="nil"/>
            </w:tcBorders>
            <w:shd w:val="clear" w:color="auto" w:fill="FFFFFF" w:themeFill="background1"/>
            <w:vAlign w:val="center"/>
            <w:hideMark/>
          </w:tcPr>
          <w:p w14:paraId="0856C42B" w14:textId="0689EDE7"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E235E"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03B05714" w14:textId="431C2861" w:rsidR="008E17DC" w:rsidRDefault="001B0584" w:rsidP="001B0584">
            <w:pPr>
              <w:jc w:val="center"/>
              <w:rPr>
                <w:rFonts w:ascii="Arial" w:hAnsi="Arial" w:cs="Arial"/>
                <w:color w:val="000000"/>
                <w:sz w:val="18"/>
                <w:szCs w:val="18"/>
              </w:rPr>
            </w:pPr>
            <w:r>
              <w:rPr>
                <w:rFonts w:ascii="Arial" w:hAnsi="Arial" w:cs="Arial"/>
                <w:color w:val="000000"/>
                <w:sz w:val="18"/>
                <w:szCs w:val="18"/>
              </w:rPr>
              <w:t>IBR - 2,2%</w:t>
            </w:r>
          </w:p>
        </w:tc>
      </w:tr>
      <w:tr w:rsidR="008E17DC" w14:paraId="23116D40" w14:textId="77777777" w:rsidTr="06457A15">
        <w:trPr>
          <w:trHeight w:val="1620"/>
        </w:trPr>
        <w:tc>
          <w:tcPr>
            <w:tcW w:w="722" w:type="pct"/>
            <w:vMerge w:val="restart"/>
            <w:tcBorders>
              <w:top w:val="nil"/>
              <w:left w:val="nil"/>
              <w:bottom w:val="single" w:sz="8" w:space="0" w:color="000000" w:themeColor="text1"/>
              <w:right w:val="nil"/>
            </w:tcBorders>
            <w:shd w:val="clear" w:color="auto" w:fill="FFFFFF" w:themeFill="background1"/>
            <w:vAlign w:val="center"/>
            <w:hideMark/>
          </w:tcPr>
          <w:p w14:paraId="424BCB74"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Mediano Productor</w:t>
            </w:r>
          </w:p>
        </w:tc>
        <w:tc>
          <w:tcPr>
            <w:tcW w:w="722" w:type="pct"/>
            <w:tcBorders>
              <w:top w:val="nil"/>
              <w:left w:val="nil"/>
              <w:bottom w:val="single" w:sz="8" w:space="0" w:color="auto"/>
              <w:right w:val="nil"/>
            </w:tcBorders>
            <w:shd w:val="clear" w:color="auto" w:fill="FFFFFF" w:themeFill="background1"/>
            <w:vAlign w:val="center"/>
            <w:hideMark/>
          </w:tcPr>
          <w:p w14:paraId="70C90B9C" w14:textId="4C2044A5" w:rsidR="008E17DC" w:rsidRDefault="291E47BE" w:rsidP="73CC8A29">
            <w:pPr>
              <w:rPr>
                <w:rFonts w:ascii="Arial" w:hAnsi="Arial" w:cs="Arial"/>
                <w:color w:val="000000"/>
                <w:sz w:val="18"/>
                <w:szCs w:val="18"/>
              </w:rPr>
            </w:pPr>
            <w:r w:rsidRPr="73CC8A29">
              <w:rPr>
                <w:rFonts w:ascii="Arial" w:hAnsi="Arial" w:cs="Arial"/>
                <w:color w:val="000000" w:themeColor="text1"/>
                <w:sz w:val="18"/>
                <w:szCs w:val="18"/>
              </w:rPr>
              <w:t>Mediano productor, Joven rural, Comunidades Negras, Afrocolombianas, Raizales y Palenqueras (NARP), y Mujer Rural, Comunidades indígenas y étnicas</w:t>
            </w:r>
            <w:r w:rsidR="6690D04A" w:rsidRPr="73CC8A29">
              <w:rPr>
                <w:rFonts w:ascii="Arial" w:hAnsi="Arial" w:cs="Arial"/>
                <w:color w:val="000000" w:themeColor="text1"/>
                <w:sz w:val="18"/>
                <w:szCs w:val="18"/>
              </w:rPr>
              <w:t xml:space="preserve"> (incluid</w:t>
            </w:r>
            <w:r w:rsidR="615C968B" w:rsidRPr="73CC8A29">
              <w:rPr>
                <w:rFonts w:ascii="Arial" w:hAnsi="Arial" w:cs="Arial"/>
                <w:color w:val="000000" w:themeColor="text1"/>
                <w:sz w:val="18"/>
                <w:szCs w:val="18"/>
              </w:rPr>
              <w:t>os los pueblos indígenas de la Guajira y en especial las comunidades</w:t>
            </w:r>
            <w:r w:rsidR="6690D04A" w:rsidRPr="73CC8A29">
              <w:rPr>
                <w:rFonts w:ascii="Arial" w:hAnsi="Arial" w:cs="Arial"/>
                <w:color w:val="000000" w:themeColor="text1"/>
                <w:sz w:val="18"/>
                <w:szCs w:val="18"/>
              </w:rPr>
              <w:t xml:space="preserve"> Wayú</w:t>
            </w:r>
            <w:r w:rsidR="18C6E641" w:rsidRPr="73CC8A29">
              <w:rPr>
                <w:rFonts w:ascii="Arial" w:hAnsi="Arial" w:cs="Arial"/>
                <w:color w:val="000000" w:themeColor="text1"/>
                <w:sz w:val="18"/>
                <w:szCs w:val="18"/>
              </w:rPr>
              <w:t>u</w:t>
            </w:r>
            <w:r w:rsidR="6690D04A" w:rsidRPr="73CC8A29">
              <w:rPr>
                <w:rFonts w:ascii="Arial" w:hAnsi="Arial" w:cs="Arial"/>
                <w:color w:val="000000" w:themeColor="text1"/>
                <w:sz w:val="18"/>
                <w:szCs w:val="18"/>
              </w:rPr>
              <w:t>)</w:t>
            </w:r>
            <w:r w:rsidRPr="73CC8A29">
              <w:rPr>
                <w:rFonts w:ascii="Arial" w:hAnsi="Arial" w:cs="Arial"/>
                <w:color w:val="000000" w:themeColor="text1"/>
                <w:sz w:val="18"/>
                <w:szCs w:val="18"/>
              </w:rPr>
              <w:t xml:space="preserve">, Población con discapacidad, </w:t>
            </w:r>
            <w:r w:rsidRPr="73CC8A29">
              <w:rPr>
                <w:rFonts w:ascii="Arial" w:hAnsi="Arial" w:cs="Arial"/>
                <w:color w:val="000000" w:themeColor="text1"/>
                <w:sz w:val="18"/>
                <w:szCs w:val="18"/>
              </w:rPr>
              <w:lastRenderedPageBreak/>
              <w:t xml:space="preserve">Población LGBTIQ+ OSIGD, Campesino, Población adulto mayor.       </w:t>
            </w:r>
          </w:p>
        </w:tc>
        <w:tc>
          <w:tcPr>
            <w:tcW w:w="722" w:type="pct"/>
            <w:tcBorders>
              <w:top w:val="nil"/>
              <w:left w:val="nil"/>
              <w:bottom w:val="single" w:sz="8" w:space="0" w:color="auto"/>
              <w:right w:val="nil"/>
            </w:tcBorders>
            <w:shd w:val="clear" w:color="auto" w:fill="FFFFFF" w:themeFill="background1"/>
            <w:noWrap/>
            <w:vAlign w:val="center"/>
            <w:hideMark/>
          </w:tcPr>
          <w:p w14:paraId="6BCF6425"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lastRenderedPageBreak/>
              <w:t>IBR+0,9%</w:t>
            </w:r>
          </w:p>
        </w:tc>
        <w:tc>
          <w:tcPr>
            <w:tcW w:w="534" w:type="pct"/>
            <w:tcBorders>
              <w:top w:val="nil"/>
              <w:left w:val="nil"/>
              <w:bottom w:val="single" w:sz="8" w:space="0" w:color="auto"/>
              <w:right w:val="nil"/>
            </w:tcBorders>
            <w:shd w:val="clear" w:color="auto" w:fill="FFFFFF" w:themeFill="background1"/>
            <w:noWrap/>
            <w:vAlign w:val="center"/>
            <w:hideMark/>
          </w:tcPr>
          <w:p w14:paraId="0E41BEAE" w14:textId="34B27EDC" w:rsidR="008E17DC" w:rsidRDefault="008E17DC" w:rsidP="008E17DC">
            <w:pPr>
              <w:jc w:val="center"/>
              <w:rPr>
                <w:rFonts w:ascii="Arial" w:hAnsi="Arial" w:cs="Arial"/>
                <w:color w:val="000000"/>
                <w:sz w:val="18"/>
                <w:szCs w:val="18"/>
              </w:rPr>
            </w:pPr>
            <w:r>
              <w:rPr>
                <w:rFonts w:ascii="Arial" w:hAnsi="Arial" w:cs="Arial"/>
                <w:color w:val="000000"/>
                <w:sz w:val="18"/>
                <w:szCs w:val="18"/>
              </w:rPr>
              <w:t>3% ea</w:t>
            </w:r>
          </w:p>
        </w:tc>
        <w:tc>
          <w:tcPr>
            <w:tcW w:w="854" w:type="pct"/>
            <w:tcBorders>
              <w:top w:val="nil"/>
              <w:left w:val="nil"/>
              <w:bottom w:val="single" w:sz="8" w:space="0" w:color="auto"/>
              <w:right w:val="nil"/>
            </w:tcBorders>
            <w:shd w:val="clear" w:color="auto" w:fill="FFFFFF" w:themeFill="background1"/>
            <w:noWrap/>
            <w:vAlign w:val="center"/>
            <w:hideMark/>
          </w:tcPr>
          <w:p w14:paraId="0B3CC798" w14:textId="3EB99DD5" w:rsidR="008E17DC" w:rsidRDefault="008E17DC" w:rsidP="008E17DC">
            <w:pPr>
              <w:jc w:val="center"/>
              <w:rPr>
                <w:rFonts w:ascii="Arial" w:hAnsi="Arial" w:cs="Arial"/>
                <w:color w:val="000000"/>
                <w:sz w:val="18"/>
                <w:szCs w:val="18"/>
              </w:rPr>
            </w:pPr>
            <w:r>
              <w:rPr>
                <w:rFonts w:ascii="Arial" w:hAnsi="Arial" w:cs="Arial"/>
                <w:color w:val="000000"/>
                <w:sz w:val="18"/>
                <w:szCs w:val="18"/>
              </w:rPr>
              <w:t>IBR + 5,5%</w:t>
            </w:r>
          </w:p>
        </w:tc>
        <w:tc>
          <w:tcPr>
            <w:tcW w:w="696" w:type="pct"/>
            <w:tcBorders>
              <w:top w:val="nil"/>
              <w:left w:val="nil"/>
              <w:bottom w:val="single" w:sz="8" w:space="0" w:color="auto"/>
              <w:right w:val="nil"/>
            </w:tcBorders>
            <w:shd w:val="clear" w:color="auto" w:fill="FFFFFF" w:themeFill="background1"/>
            <w:vAlign w:val="center"/>
            <w:hideMark/>
          </w:tcPr>
          <w:p w14:paraId="35C1D668" w14:textId="1AEB799A" w:rsidR="008E17DC" w:rsidRDefault="00BE235E" w:rsidP="008E17DC">
            <w:pPr>
              <w:jc w:val="center"/>
              <w:rPr>
                <w:rFonts w:ascii="Arial" w:hAnsi="Arial" w:cs="Arial"/>
                <w:color w:val="000000"/>
                <w:sz w:val="18"/>
                <w:szCs w:val="18"/>
              </w:rPr>
            </w:pPr>
            <w:r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FFFFFF" w:themeFill="background1"/>
            <w:noWrap/>
            <w:vAlign w:val="center"/>
            <w:hideMark/>
          </w:tcPr>
          <w:p w14:paraId="684B127E" w14:textId="71E8BB09" w:rsidR="008E17DC" w:rsidRDefault="008E17DC" w:rsidP="008E17DC">
            <w:pPr>
              <w:jc w:val="center"/>
              <w:rPr>
                <w:rFonts w:ascii="Arial" w:hAnsi="Arial" w:cs="Arial"/>
                <w:color w:val="000000"/>
                <w:sz w:val="18"/>
                <w:szCs w:val="18"/>
              </w:rPr>
            </w:pPr>
            <w:r>
              <w:rPr>
                <w:rFonts w:ascii="Arial" w:hAnsi="Arial" w:cs="Arial"/>
                <w:color w:val="000000"/>
                <w:sz w:val="18"/>
                <w:szCs w:val="18"/>
              </w:rPr>
              <w:t>IBR + 4,5%</w:t>
            </w:r>
          </w:p>
        </w:tc>
      </w:tr>
      <w:tr w:rsidR="008E17DC" w14:paraId="349D3C66" w14:textId="77777777" w:rsidTr="06457A15">
        <w:trPr>
          <w:trHeight w:val="930"/>
        </w:trPr>
        <w:tc>
          <w:tcPr>
            <w:tcW w:w="722" w:type="pct"/>
            <w:vMerge/>
            <w:vAlign w:val="center"/>
            <w:hideMark/>
          </w:tcPr>
          <w:p w14:paraId="6E99054B"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7F6CEE4D" w14:textId="77777777" w:rsidR="008E17DC" w:rsidRDefault="008E17DC" w:rsidP="008E17DC">
            <w:pPr>
              <w:rPr>
                <w:rFonts w:ascii="Arial" w:hAnsi="Arial" w:cs="Arial"/>
                <w:color w:val="000000"/>
                <w:sz w:val="18"/>
                <w:szCs w:val="18"/>
              </w:rPr>
            </w:pPr>
            <w:r>
              <w:rPr>
                <w:rFonts w:ascii="Arial" w:hAnsi="Arial" w:cs="Arial"/>
                <w:color w:val="000000"/>
                <w:sz w:val="18"/>
                <w:szCs w:val="18"/>
              </w:rPr>
              <w:t>Población calificada como Víctima, población Desmovilizada, Reinsertada y Reincorporada y población vinculada a los programas PNIS.</w:t>
            </w:r>
          </w:p>
        </w:tc>
        <w:tc>
          <w:tcPr>
            <w:tcW w:w="722" w:type="pct"/>
            <w:tcBorders>
              <w:top w:val="nil"/>
              <w:left w:val="nil"/>
              <w:bottom w:val="single" w:sz="8" w:space="0" w:color="auto"/>
              <w:right w:val="nil"/>
            </w:tcBorders>
            <w:shd w:val="clear" w:color="auto" w:fill="FFFFFF" w:themeFill="background1"/>
            <w:noWrap/>
            <w:vAlign w:val="center"/>
            <w:hideMark/>
          </w:tcPr>
          <w:p w14:paraId="10FEFB15"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- 3,5%</w:t>
            </w:r>
          </w:p>
        </w:tc>
        <w:tc>
          <w:tcPr>
            <w:tcW w:w="534" w:type="pct"/>
            <w:tcBorders>
              <w:top w:val="nil"/>
              <w:left w:val="nil"/>
              <w:bottom w:val="single" w:sz="8" w:space="0" w:color="auto"/>
              <w:right w:val="nil"/>
            </w:tcBorders>
            <w:shd w:val="clear" w:color="auto" w:fill="FFFFFF" w:themeFill="background1"/>
            <w:noWrap/>
            <w:vAlign w:val="center"/>
            <w:hideMark/>
          </w:tcPr>
          <w:p w14:paraId="20F318E4" w14:textId="4BB9B734" w:rsidR="008E17DC" w:rsidRDefault="008E17DC" w:rsidP="008E17DC">
            <w:pPr>
              <w:jc w:val="center"/>
              <w:rPr>
                <w:rFonts w:ascii="Arial" w:hAnsi="Arial" w:cs="Arial"/>
                <w:color w:val="000000"/>
                <w:sz w:val="18"/>
                <w:szCs w:val="18"/>
              </w:rPr>
            </w:pPr>
            <w:r>
              <w:rPr>
                <w:rFonts w:ascii="Arial" w:hAnsi="Arial" w:cs="Arial"/>
                <w:color w:val="000000"/>
                <w:sz w:val="18"/>
                <w:szCs w:val="18"/>
              </w:rPr>
              <w:t>2% ea</w:t>
            </w:r>
          </w:p>
        </w:tc>
        <w:tc>
          <w:tcPr>
            <w:tcW w:w="854" w:type="pct"/>
            <w:tcBorders>
              <w:top w:val="nil"/>
              <w:left w:val="nil"/>
              <w:bottom w:val="single" w:sz="8" w:space="0" w:color="auto"/>
              <w:right w:val="nil"/>
            </w:tcBorders>
            <w:shd w:val="clear" w:color="auto" w:fill="FFFFFF" w:themeFill="background1"/>
            <w:noWrap/>
            <w:vAlign w:val="center"/>
            <w:hideMark/>
          </w:tcPr>
          <w:p w14:paraId="290EA883" w14:textId="2EB632EA" w:rsidR="008E17DC" w:rsidRDefault="008E17DC" w:rsidP="008E17DC">
            <w:pPr>
              <w:jc w:val="center"/>
              <w:rPr>
                <w:rFonts w:ascii="Arial" w:hAnsi="Arial" w:cs="Arial"/>
                <w:color w:val="000000"/>
                <w:sz w:val="18"/>
                <w:szCs w:val="18"/>
              </w:rPr>
            </w:pPr>
            <w:r>
              <w:rPr>
                <w:rFonts w:ascii="Arial" w:hAnsi="Arial" w:cs="Arial"/>
                <w:color w:val="000000"/>
                <w:sz w:val="18"/>
                <w:szCs w:val="18"/>
              </w:rPr>
              <w:t>IBR - 1,1%</w:t>
            </w:r>
          </w:p>
        </w:tc>
        <w:tc>
          <w:tcPr>
            <w:tcW w:w="696" w:type="pct"/>
            <w:tcBorders>
              <w:top w:val="nil"/>
              <w:left w:val="nil"/>
              <w:bottom w:val="single" w:sz="8" w:space="0" w:color="auto"/>
              <w:right w:val="nil"/>
            </w:tcBorders>
            <w:shd w:val="clear" w:color="auto" w:fill="FFFFFF" w:themeFill="background1"/>
            <w:vAlign w:val="center"/>
            <w:hideMark/>
          </w:tcPr>
          <w:p w14:paraId="32638095" w14:textId="63EFE010"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E235E" w:rsidRPr="00EF2E77">
              <w:rPr>
                <w:rFonts w:ascii="Arial" w:hAnsi="Arial" w:cs="Arial"/>
                <w:color w:val="000000" w:themeColor="text1"/>
                <w:sz w:val="18"/>
                <w:szCs w:val="18"/>
                <w:lang w:val="es-ES_tradnl"/>
              </w:rPr>
              <w:t xml:space="preserve">1% </w:t>
            </w:r>
            <w:r w:rsidR="00345E00" w:rsidRPr="00EF2E77">
              <w:rPr>
                <w:rFonts w:ascii="Arial" w:hAnsi="Arial" w:cs="Arial"/>
                <w:color w:val="000000" w:themeColor="text1"/>
                <w:sz w:val="18"/>
                <w:szCs w:val="18"/>
                <w:lang w:val="es-ES_tradnl"/>
              </w:rPr>
              <w:t>e. a</w:t>
            </w:r>
          </w:p>
        </w:tc>
        <w:tc>
          <w:tcPr>
            <w:tcW w:w="750" w:type="pct"/>
            <w:tcBorders>
              <w:top w:val="nil"/>
              <w:left w:val="nil"/>
              <w:bottom w:val="single" w:sz="8" w:space="0" w:color="auto"/>
              <w:right w:val="nil"/>
            </w:tcBorders>
            <w:shd w:val="clear" w:color="auto" w:fill="auto"/>
            <w:noWrap/>
            <w:vAlign w:val="center"/>
            <w:hideMark/>
          </w:tcPr>
          <w:p w14:paraId="2E48A98C" w14:textId="4A4B390C" w:rsidR="008E17DC" w:rsidRDefault="00B22912" w:rsidP="00B22912">
            <w:pPr>
              <w:jc w:val="center"/>
              <w:rPr>
                <w:rFonts w:ascii="Arial" w:hAnsi="Arial" w:cs="Arial"/>
                <w:color w:val="000000"/>
                <w:sz w:val="18"/>
                <w:szCs w:val="18"/>
              </w:rPr>
            </w:pPr>
            <w:r>
              <w:rPr>
                <w:rFonts w:ascii="Arial" w:hAnsi="Arial" w:cs="Arial"/>
                <w:color w:val="000000"/>
                <w:sz w:val="18"/>
                <w:szCs w:val="18"/>
              </w:rPr>
              <w:t>IBR - 2,1%</w:t>
            </w:r>
          </w:p>
        </w:tc>
      </w:tr>
      <w:tr w:rsidR="008E17DC" w14:paraId="56E666B8" w14:textId="77777777" w:rsidTr="06457A15">
        <w:trPr>
          <w:trHeight w:val="240"/>
        </w:trPr>
        <w:tc>
          <w:tcPr>
            <w:tcW w:w="722" w:type="pct"/>
            <w:vMerge/>
            <w:vAlign w:val="center"/>
            <w:hideMark/>
          </w:tcPr>
          <w:p w14:paraId="0F22D50C"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4653E57B" w14:textId="77777777" w:rsidR="008E17DC" w:rsidRDefault="008E17DC" w:rsidP="008E17DC">
            <w:pPr>
              <w:rPr>
                <w:rFonts w:ascii="Arial" w:hAnsi="Arial" w:cs="Arial"/>
                <w:color w:val="000000"/>
                <w:sz w:val="18"/>
                <w:szCs w:val="18"/>
              </w:rPr>
            </w:pPr>
            <w:r>
              <w:rPr>
                <w:rFonts w:ascii="Arial" w:hAnsi="Arial" w:cs="Arial"/>
                <w:color w:val="000000"/>
                <w:sz w:val="18"/>
                <w:szCs w:val="18"/>
              </w:rPr>
              <w:t>Esquema asociativo simplificado</w:t>
            </w:r>
          </w:p>
        </w:tc>
        <w:tc>
          <w:tcPr>
            <w:tcW w:w="722" w:type="pct"/>
            <w:tcBorders>
              <w:top w:val="nil"/>
              <w:left w:val="nil"/>
              <w:bottom w:val="single" w:sz="8" w:space="0" w:color="auto"/>
              <w:right w:val="nil"/>
            </w:tcBorders>
            <w:shd w:val="clear" w:color="auto" w:fill="FFFFFF" w:themeFill="background1"/>
            <w:noWrap/>
            <w:vAlign w:val="center"/>
            <w:hideMark/>
          </w:tcPr>
          <w:p w14:paraId="1B977B66"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 - 2,6%</w:t>
            </w:r>
          </w:p>
        </w:tc>
        <w:tc>
          <w:tcPr>
            <w:tcW w:w="534" w:type="pct"/>
            <w:tcBorders>
              <w:top w:val="nil"/>
              <w:left w:val="nil"/>
              <w:bottom w:val="single" w:sz="8" w:space="0" w:color="auto"/>
              <w:right w:val="nil"/>
            </w:tcBorders>
            <w:shd w:val="clear" w:color="auto" w:fill="FFFFFF" w:themeFill="background1"/>
            <w:noWrap/>
            <w:vAlign w:val="center"/>
            <w:hideMark/>
          </w:tcPr>
          <w:p w14:paraId="1D65B81F" w14:textId="42D8690F"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62553C59" w14:textId="03434D47" w:rsidR="008E17DC" w:rsidRDefault="008E17DC" w:rsidP="008E17DC">
            <w:pPr>
              <w:jc w:val="center"/>
              <w:rPr>
                <w:rFonts w:ascii="Arial" w:hAnsi="Arial" w:cs="Arial"/>
                <w:color w:val="000000"/>
                <w:sz w:val="18"/>
                <w:szCs w:val="18"/>
              </w:rPr>
            </w:pPr>
            <w:r>
              <w:rPr>
                <w:rFonts w:ascii="Arial" w:hAnsi="Arial" w:cs="Arial"/>
                <w:color w:val="000000"/>
                <w:sz w:val="18"/>
                <w:szCs w:val="18"/>
              </w:rPr>
              <w:t>IBR - 0,1%</w:t>
            </w:r>
          </w:p>
        </w:tc>
        <w:tc>
          <w:tcPr>
            <w:tcW w:w="696" w:type="pct"/>
            <w:tcBorders>
              <w:top w:val="nil"/>
              <w:left w:val="nil"/>
              <w:bottom w:val="single" w:sz="8" w:space="0" w:color="auto"/>
              <w:right w:val="nil"/>
            </w:tcBorders>
            <w:shd w:val="clear" w:color="auto" w:fill="FFFFFF" w:themeFill="background1"/>
            <w:vAlign w:val="center"/>
            <w:hideMark/>
          </w:tcPr>
          <w:p w14:paraId="7AF92049" w14:textId="4098B6D3" w:rsidR="008E17DC" w:rsidRDefault="00BE235E" w:rsidP="008E17DC">
            <w:pPr>
              <w:jc w:val="center"/>
              <w:rPr>
                <w:rFonts w:ascii="Arial" w:hAnsi="Arial" w:cs="Arial"/>
                <w:color w:val="000000"/>
                <w:sz w:val="18"/>
                <w:szCs w:val="18"/>
              </w:rPr>
            </w:pPr>
            <w:r w:rsidRPr="00EF2E77">
              <w:rPr>
                <w:rFonts w:ascii="Arial" w:hAnsi="Arial" w:cs="Arial"/>
                <w:color w:val="000000" w:themeColor="text1"/>
                <w:sz w:val="18"/>
                <w:szCs w:val="18"/>
                <w:lang w:val="es-ES_tradnl"/>
              </w:rPr>
              <w:t>1% e.a</w:t>
            </w:r>
            <w:r w:rsidR="008E17DC">
              <w:rPr>
                <w:rFonts w:ascii="Arial" w:hAnsi="Arial" w:cs="Arial"/>
                <w:color w:val="000000"/>
                <w:sz w:val="18"/>
                <w:szCs w:val="18"/>
              </w:rPr>
              <w:t> </w:t>
            </w:r>
          </w:p>
        </w:tc>
        <w:tc>
          <w:tcPr>
            <w:tcW w:w="750" w:type="pct"/>
            <w:tcBorders>
              <w:top w:val="nil"/>
              <w:left w:val="nil"/>
              <w:bottom w:val="single" w:sz="8" w:space="0" w:color="auto"/>
              <w:right w:val="nil"/>
            </w:tcBorders>
            <w:shd w:val="clear" w:color="auto" w:fill="auto"/>
            <w:noWrap/>
            <w:vAlign w:val="center"/>
            <w:hideMark/>
          </w:tcPr>
          <w:p w14:paraId="42587752" w14:textId="112C8A9E" w:rsidR="008E17DC" w:rsidRDefault="00B22912" w:rsidP="00B22912">
            <w:pPr>
              <w:jc w:val="center"/>
              <w:rPr>
                <w:rFonts w:ascii="Arial" w:hAnsi="Arial" w:cs="Arial"/>
                <w:color w:val="000000"/>
                <w:sz w:val="18"/>
                <w:szCs w:val="18"/>
              </w:rPr>
            </w:pPr>
            <w:r>
              <w:rPr>
                <w:rFonts w:ascii="Arial" w:hAnsi="Arial" w:cs="Arial"/>
                <w:color w:val="000000"/>
                <w:sz w:val="18"/>
                <w:szCs w:val="18"/>
              </w:rPr>
              <w:t>IBR - 1,1%</w:t>
            </w:r>
          </w:p>
        </w:tc>
      </w:tr>
      <w:tr w:rsidR="008E17DC" w14:paraId="243A620C" w14:textId="77777777" w:rsidTr="06457A15">
        <w:trPr>
          <w:trHeight w:val="375"/>
        </w:trPr>
        <w:tc>
          <w:tcPr>
            <w:tcW w:w="722" w:type="pct"/>
            <w:vMerge/>
            <w:vAlign w:val="center"/>
            <w:hideMark/>
          </w:tcPr>
          <w:p w14:paraId="5FFF8A31" w14:textId="77777777" w:rsidR="008E17DC" w:rsidRDefault="008E17DC" w:rsidP="008E17DC">
            <w:pPr>
              <w:rPr>
                <w:rFonts w:ascii="Arial" w:hAnsi="Arial" w:cs="Arial"/>
                <w:color w:val="000000"/>
                <w:sz w:val="18"/>
                <w:szCs w:val="18"/>
              </w:rPr>
            </w:pPr>
          </w:p>
        </w:tc>
        <w:tc>
          <w:tcPr>
            <w:tcW w:w="722" w:type="pct"/>
            <w:tcBorders>
              <w:top w:val="nil"/>
              <w:left w:val="nil"/>
              <w:bottom w:val="single" w:sz="8" w:space="0" w:color="auto"/>
              <w:right w:val="nil"/>
            </w:tcBorders>
            <w:shd w:val="clear" w:color="auto" w:fill="FFFFFF" w:themeFill="background1"/>
            <w:vAlign w:val="center"/>
            <w:hideMark/>
          </w:tcPr>
          <w:p w14:paraId="69656279" w14:textId="77777777" w:rsidR="008E17DC" w:rsidRDefault="008E17DC" w:rsidP="008E17DC">
            <w:pPr>
              <w:rPr>
                <w:rFonts w:ascii="Arial" w:hAnsi="Arial" w:cs="Arial"/>
                <w:color w:val="000000"/>
                <w:sz w:val="18"/>
                <w:szCs w:val="18"/>
              </w:rPr>
            </w:pPr>
            <w:r>
              <w:rPr>
                <w:rFonts w:ascii="Arial" w:hAnsi="Arial" w:cs="Arial"/>
                <w:color w:val="000000"/>
                <w:sz w:val="18"/>
                <w:szCs w:val="18"/>
              </w:rPr>
              <w:t>Esquema integración</w:t>
            </w:r>
          </w:p>
        </w:tc>
        <w:tc>
          <w:tcPr>
            <w:tcW w:w="722" w:type="pct"/>
            <w:tcBorders>
              <w:top w:val="nil"/>
              <w:left w:val="nil"/>
              <w:bottom w:val="single" w:sz="8" w:space="0" w:color="auto"/>
              <w:right w:val="nil"/>
            </w:tcBorders>
            <w:shd w:val="clear" w:color="auto" w:fill="FFFFFF" w:themeFill="background1"/>
            <w:noWrap/>
            <w:vAlign w:val="center"/>
            <w:hideMark/>
          </w:tcPr>
          <w:p w14:paraId="717FB2A4" w14:textId="77777777" w:rsidR="008E17DC" w:rsidRDefault="008E17DC" w:rsidP="008E17DC">
            <w:pPr>
              <w:jc w:val="center"/>
              <w:rPr>
                <w:rFonts w:ascii="Arial" w:hAnsi="Arial" w:cs="Arial"/>
                <w:color w:val="000000"/>
                <w:sz w:val="18"/>
                <w:szCs w:val="18"/>
              </w:rPr>
            </w:pPr>
            <w:r>
              <w:rPr>
                <w:rFonts w:ascii="Arial" w:hAnsi="Arial" w:cs="Arial"/>
                <w:color w:val="000000"/>
                <w:sz w:val="18"/>
                <w:szCs w:val="18"/>
              </w:rPr>
              <w:t>IBR+0,9%</w:t>
            </w:r>
          </w:p>
        </w:tc>
        <w:tc>
          <w:tcPr>
            <w:tcW w:w="534" w:type="pct"/>
            <w:tcBorders>
              <w:top w:val="nil"/>
              <w:left w:val="nil"/>
              <w:bottom w:val="single" w:sz="8" w:space="0" w:color="auto"/>
              <w:right w:val="nil"/>
            </w:tcBorders>
            <w:shd w:val="clear" w:color="auto" w:fill="FFFFFF" w:themeFill="background1"/>
            <w:noWrap/>
            <w:vAlign w:val="center"/>
            <w:hideMark/>
          </w:tcPr>
          <w:p w14:paraId="4AF532FE" w14:textId="74CE7E60" w:rsidR="008E17DC" w:rsidRDefault="008E17DC" w:rsidP="008E17DC">
            <w:pPr>
              <w:jc w:val="center"/>
              <w:rPr>
                <w:rFonts w:ascii="Arial" w:hAnsi="Arial" w:cs="Arial"/>
                <w:color w:val="000000"/>
                <w:sz w:val="18"/>
                <w:szCs w:val="18"/>
              </w:rPr>
            </w:pPr>
            <w:r>
              <w:rPr>
                <w:rFonts w:ascii="Arial" w:hAnsi="Arial" w:cs="Arial"/>
                <w:color w:val="000000"/>
                <w:sz w:val="18"/>
                <w:szCs w:val="18"/>
              </w:rPr>
              <w:t>5% ea</w:t>
            </w:r>
          </w:p>
        </w:tc>
        <w:tc>
          <w:tcPr>
            <w:tcW w:w="854" w:type="pct"/>
            <w:tcBorders>
              <w:top w:val="nil"/>
              <w:left w:val="nil"/>
              <w:bottom w:val="single" w:sz="8" w:space="0" w:color="auto"/>
              <w:right w:val="nil"/>
            </w:tcBorders>
            <w:shd w:val="clear" w:color="auto" w:fill="FFFFFF" w:themeFill="background1"/>
            <w:noWrap/>
            <w:vAlign w:val="center"/>
            <w:hideMark/>
          </w:tcPr>
          <w:p w14:paraId="3BB20607" w14:textId="30D324CF" w:rsidR="008E17DC" w:rsidRDefault="008E17DC" w:rsidP="008E17DC">
            <w:pPr>
              <w:jc w:val="center"/>
              <w:rPr>
                <w:rFonts w:ascii="Arial" w:hAnsi="Arial" w:cs="Arial"/>
                <w:color w:val="000000"/>
                <w:sz w:val="18"/>
                <w:szCs w:val="18"/>
              </w:rPr>
            </w:pPr>
            <w:r>
              <w:rPr>
                <w:rFonts w:ascii="Arial" w:hAnsi="Arial" w:cs="Arial"/>
                <w:color w:val="000000"/>
                <w:sz w:val="18"/>
                <w:szCs w:val="18"/>
              </w:rPr>
              <w:t>IBR + 3,5%</w:t>
            </w:r>
          </w:p>
        </w:tc>
        <w:tc>
          <w:tcPr>
            <w:tcW w:w="696" w:type="pct"/>
            <w:tcBorders>
              <w:top w:val="nil"/>
              <w:left w:val="nil"/>
              <w:bottom w:val="single" w:sz="8" w:space="0" w:color="auto"/>
              <w:right w:val="nil"/>
            </w:tcBorders>
            <w:shd w:val="clear" w:color="auto" w:fill="FFFFFF" w:themeFill="background1"/>
            <w:vAlign w:val="center"/>
            <w:hideMark/>
          </w:tcPr>
          <w:p w14:paraId="379E0685" w14:textId="2E6FA137" w:rsidR="008E17DC" w:rsidRDefault="008E17DC" w:rsidP="008E17DC">
            <w:pPr>
              <w:jc w:val="center"/>
              <w:rPr>
                <w:rFonts w:ascii="Arial" w:hAnsi="Arial" w:cs="Arial"/>
                <w:color w:val="000000"/>
                <w:sz w:val="18"/>
                <w:szCs w:val="18"/>
              </w:rPr>
            </w:pPr>
            <w:r>
              <w:rPr>
                <w:rFonts w:ascii="Arial" w:hAnsi="Arial" w:cs="Arial"/>
                <w:color w:val="000000"/>
                <w:sz w:val="18"/>
                <w:szCs w:val="18"/>
              </w:rPr>
              <w:t> </w:t>
            </w:r>
            <w:r w:rsidR="00B22912" w:rsidRPr="00EF2E77">
              <w:rPr>
                <w:rFonts w:ascii="Arial" w:hAnsi="Arial" w:cs="Arial"/>
                <w:color w:val="000000" w:themeColor="text1"/>
                <w:sz w:val="18"/>
                <w:szCs w:val="18"/>
                <w:lang w:val="es-ES_tradnl"/>
              </w:rPr>
              <w:t>1% e.a</w:t>
            </w:r>
            <w:r w:rsidR="00B22912">
              <w:rPr>
                <w:rFonts w:ascii="Arial" w:hAnsi="Arial" w:cs="Arial"/>
                <w:color w:val="000000"/>
                <w:sz w:val="18"/>
                <w:szCs w:val="18"/>
              </w:rPr>
              <w:t> </w:t>
            </w:r>
          </w:p>
        </w:tc>
        <w:tc>
          <w:tcPr>
            <w:tcW w:w="750" w:type="pct"/>
            <w:tcBorders>
              <w:top w:val="nil"/>
              <w:left w:val="nil"/>
              <w:bottom w:val="single" w:sz="8" w:space="0" w:color="auto"/>
              <w:right w:val="nil"/>
            </w:tcBorders>
            <w:shd w:val="clear" w:color="auto" w:fill="auto"/>
            <w:noWrap/>
            <w:vAlign w:val="center"/>
            <w:hideMark/>
          </w:tcPr>
          <w:p w14:paraId="446CFD33" w14:textId="214567D0" w:rsidR="008E17DC" w:rsidRDefault="00B22912" w:rsidP="00B22912">
            <w:pPr>
              <w:jc w:val="center"/>
              <w:rPr>
                <w:rFonts w:ascii="Arial" w:hAnsi="Arial" w:cs="Arial"/>
                <w:color w:val="000000"/>
                <w:sz w:val="18"/>
                <w:szCs w:val="18"/>
              </w:rPr>
            </w:pPr>
            <w:r>
              <w:rPr>
                <w:rFonts w:ascii="Arial" w:hAnsi="Arial" w:cs="Arial"/>
                <w:color w:val="000000"/>
                <w:sz w:val="18"/>
                <w:szCs w:val="18"/>
              </w:rPr>
              <w:t>IBR + 2,5%</w:t>
            </w:r>
          </w:p>
        </w:tc>
      </w:tr>
      <w:tr w:rsidR="008E17DC" w14:paraId="459ABD71" w14:textId="77777777" w:rsidTr="06457A15">
        <w:trPr>
          <w:trHeight w:val="250"/>
        </w:trPr>
        <w:tc>
          <w:tcPr>
            <w:tcW w:w="5000" w:type="pct"/>
            <w:gridSpan w:val="7"/>
            <w:tcBorders>
              <w:top w:val="single" w:sz="8" w:space="0" w:color="auto"/>
              <w:left w:val="nil"/>
              <w:bottom w:val="nil"/>
              <w:right w:val="nil"/>
            </w:tcBorders>
            <w:shd w:val="clear" w:color="auto" w:fill="auto"/>
            <w:vAlign w:val="center"/>
            <w:hideMark/>
          </w:tcPr>
          <w:p w14:paraId="6ED03C00" w14:textId="77777777" w:rsidR="008E17DC" w:rsidRPr="00A27E87" w:rsidRDefault="008E17DC" w:rsidP="008E17DC">
            <w:pPr>
              <w:rPr>
                <w:rFonts w:ascii="Arial" w:hAnsi="Arial" w:cs="Arial"/>
                <w:color w:val="000000"/>
                <w:sz w:val="18"/>
                <w:szCs w:val="18"/>
              </w:rPr>
            </w:pPr>
            <w:r w:rsidRPr="00A27E87">
              <w:rPr>
                <w:rFonts w:ascii="Arial" w:hAnsi="Arial" w:cs="Arial"/>
                <w:color w:val="000000"/>
                <w:sz w:val="18"/>
                <w:szCs w:val="18"/>
              </w:rPr>
              <w:t>*IBR y spread en términos nominales</w:t>
            </w:r>
          </w:p>
        </w:tc>
      </w:tr>
      <w:tr w:rsidR="008E17DC" w14:paraId="47C388FC" w14:textId="77777777" w:rsidTr="06457A15">
        <w:trPr>
          <w:trHeight w:val="250"/>
        </w:trPr>
        <w:tc>
          <w:tcPr>
            <w:tcW w:w="5000" w:type="pct"/>
            <w:gridSpan w:val="7"/>
            <w:tcBorders>
              <w:top w:val="nil"/>
              <w:left w:val="nil"/>
              <w:bottom w:val="nil"/>
              <w:right w:val="nil"/>
            </w:tcBorders>
            <w:shd w:val="clear" w:color="auto" w:fill="auto"/>
            <w:vAlign w:val="center"/>
            <w:hideMark/>
          </w:tcPr>
          <w:p w14:paraId="0D985409" w14:textId="77777777" w:rsidR="008E17DC" w:rsidRDefault="008E17DC" w:rsidP="008E17DC">
            <w:pPr>
              <w:rPr>
                <w:rFonts w:ascii="Arial" w:hAnsi="Arial" w:cs="Arial"/>
                <w:color w:val="000000"/>
                <w:sz w:val="18"/>
                <w:szCs w:val="18"/>
              </w:rPr>
            </w:pPr>
            <w:r w:rsidRPr="00A27E87">
              <w:rPr>
                <w:rFonts w:ascii="Arial" w:hAnsi="Arial" w:cs="Arial"/>
                <w:color w:val="000000"/>
                <w:sz w:val="18"/>
                <w:szCs w:val="18"/>
              </w:rPr>
              <w:t>** Subsidio adicional de 1% para los beneficiarios joven rural y comunidad NARP.</w:t>
            </w:r>
          </w:p>
          <w:p w14:paraId="52BE0BAA" w14:textId="77777777" w:rsidR="008E17DC" w:rsidRDefault="008E17DC" w:rsidP="008E17DC">
            <w:pPr>
              <w:rPr>
                <w:rFonts w:ascii="Arial" w:hAnsi="Arial" w:cs="Arial"/>
                <w:color w:val="000000"/>
                <w:sz w:val="18"/>
                <w:szCs w:val="18"/>
              </w:rPr>
            </w:pPr>
          </w:p>
          <w:tbl>
            <w:tblPr>
              <w:tblW w:w="5000" w:type="pct"/>
              <w:tblLayout w:type="fixed"/>
              <w:tblCellMar>
                <w:top w:w="15" w:type="dxa"/>
                <w:left w:w="70" w:type="dxa"/>
                <w:right w:w="70" w:type="dxa"/>
              </w:tblCellMar>
              <w:tblLook w:val="04A0" w:firstRow="1" w:lastRow="0" w:firstColumn="1" w:lastColumn="0" w:noHBand="0" w:noVBand="1"/>
            </w:tblPr>
            <w:tblGrid>
              <w:gridCol w:w="8500"/>
              <w:gridCol w:w="198"/>
            </w:tblGrid>
            <w:tr w:rsidR="008E17DC" w14:paraId="72711778" w14:textId="77777777" w:rsidTr="009137D3">
              <w:trPr>
                <w:trHeight w:val="290"/>
              </w:trPr>
              <w:tc>
                <w:tcPr>
                  <w:tcW w:w="4886" w:type="pct"/>
                  <w:tcBorders>
                    <w:top w:val="nil"/>
                    <w:left w:val="nil"/>
                    <w:bottom w:val="nil"/>
                    <w:right w:val="nil"/>
                  </w:tcBorders>
                  <w:vAlign w:val="center"/>
                  <w:hideMark/>
                </w:tcPr>
                <w:p w14:paraId="3B2F99C2" w14:textId="77777777" w:rsidR="008E17DC" w:rsidRDefault="008E17DC" w:rsidP="008E17DC">
                  <w:pPr>
                    <w:rPr>
                      <w:rFonts w:ascii="Arial" w:hAnsi="Arial" w:cs="Arial"/>
                      <w:color w:val="000000"/>
                    </w:rPr>
                  </w:pPr>
                </w:p>
              </w:tc>
              <w:tc>
                <w:tcPr>
                  <w:tcW w:w="114" w:type="pct"/>
                  <w:tcBorders>
                    <w:top w:val="nil"/>
                    <w:left w:val="nil"/>
                    <w:bottom w:val="nil"/>
                    <w:right w:val="nil"/>
                  </w:tcBorders>
                  <w:shd w:val="clear" w:color="auto" w:fill="auto"/>
                  <w:noWrap/>
                  <w:vAlign w:val="bottom"/>
                  <w:hideMark/>
                </w:tcPr>
                <w:p w14:paraId="2C2A6BAA" w14:textId="77777777" w:rsidR="008E17DC" w:rsidRDefault="008E17DC" w:rsidP="008E17DC">
                  <w:pPr>
                    <w:rPr>
                      <w:rFonts w:ascii="Arial" w:hAnsi="Arial" w:cs="Arial"/>
                      <w:color w:val="000000"/>
                    </w:rPr>
                  </w:pPr>
                </w:p>
              </w:tc>
            </w:tr>
          </w:tbl>
          <w:p w14:paraId="5C627230" w14:textId="77777777" w:rsidR="008E17DC" w:rsidRPr="00A27E87" w:rsidRDefault="008E17DC" w:rsidP="008E17DC">
            <w:pPr>
              <w:rPr>
                <w:rFonts w:ascii="Arial" w:hAnsi="Arial" w:cs="Arial"/>
                <w:color w:val="000000"/>
                <w:sz w:val="18"/>
                <w:szCs w:val="18"/>
              </w:rPr>
            </w:pPr>
          </w:p>
        </w:tc>
      </w:tr>
    </w:tbl>
    <w:p w14:paraId="6B6682D1" w14:textId="77777777" w:rsidR="004E7FB3" w:rsidRPr="004E7FB3" w:rsidRDefault="005047B9" w:rsidP="004E7FB3">
      <w:pPr>
        <w:pStyle w:val="Prrafodelista"/>
        <w:numPr>
          <w:ilvl w:val="0"/>
          <w:numId w:val="4"/>
        </w:numPr>
        <w:ind w:left="0" w:firstLine="0"/>
        <w:contextualSpacing/>
        <w:jc w:val="both"/>
        <w:rPr>
          <w:rStyle w:val="normaltextrun"/>
          <w:rFonts w:ascii="Arial" w:hAnsi="Arial" w:cs="Arial"/>
          <w:b/>
          <w:bCs/>
          <w:sz w:val="22"/>
          <w:szCs w:val="22"/>
        </w:rPr>
      </w:pPr>
      <w:r w:rsidRPr="004E7FB3">
        <w:rPr>
          <w:rFonts w:ascii="Arial" w:hAnsi="Arial" w:cs="Arial"/>
          <w:b/>
          <w:bCs/>
          <w:sz w:val="22"/>
          <w:szCs w:val="22"/>
        </w:rPr>
        <w:t>Implementación:</w:t>
      </w:r>
      <w:r w:rsidRPr="004E7FB3">
        <w:rPr>
          <w:rFonts w:ascii="Arial" w:hAnsi="Arial" w:cs="Arial"/>
          <w:sz w:val="22"/>
          <w:szCs w:val="22"/>
        </w:rPr>
        <w:t xml:space="preserve"> </w:t>
      </w:r>
      <w:r w:rsidR="0050234B" w:rsidRPr="004E7FB3">
        <w:rPr>
          <w:rStyle w:val="normaltextrun"/>
          <w:rFonts w:ascii="Arial" w:hAnsi="Arial" w:cs="Arial"/>
          <w:sz w:val="22"/>
          <w:szCs w:val="22"/>
        </w:rPr>
        <w:t xml:space="preserve">FINAGRO adoptará los procedimientos y las medidas necesarias para desarrollar e implementar lo aprobado en la presente </w:t>
      </w:r>
      <w:r w:rsidR="7FB7D998" w:rsidRPr="004E7FB3">
        <w:rPr>
          <w:rStyle w:val="normaltextrun"/>
          <w:rFonts w:ascii="Arial" w:hAnsi="Arial" w:cs="Arial"/>
          <w:sz w:val="22"/>
          <w:szCs w:val="22"/>
        </w:rPr>
        <w:t>R</w:t>
      </w:r>
      <w:r w:rsidR="0050234B" w:rsidRPr="004E7FB3">
        <w:rPr>
          <w:rStyle w:val="normaltextrun"/>
          <w:rFonts w:ascii="Arial" w:hAnsi="Arial" w:cs="Arial"/>
          <w:sz w:val="22"/>
          <w:szCs w:val="22"/>
        </w:rPr>
        <w:t>esolución.</w:t>
      </w:r>
    </w:p>
    <w:p w14:paraId="09839124" w14:textId="77777777" w:rsidR="004E7FB3" w:rsidRDefault="004E7FB3" w:rsidP="004E7FB3">
      <w:pPr>
        <w:pStyle w:val="Prrafodelista"/>
        <w:ind w:left="0"/>
        <w:contextualSpacing/>
        <w:jc w:val="both"/>
        <w:rPr>
          <w:rStyle w:val="normaltextrun"/>
          <w:rFonts w:ascii="Arial" w:hAnsi="Arial" w:cs="Arial"/>
          <w:b/>
          <w:bCs/>
          <w:sz w:val="22"/>
          <w:szCs w:val="22"/>
        </w:rPr>
      </w:pPr>
    </w:p>
    <w:p w14:paraId="7B12E292" w14:textId="3290785E" w:rsidR="0050234B" w:rsidRPr="004E7FB3" w:rsidRDefault="0050234B" w:rsidP="004E7FB3">
      <w:pPr>
        <w:pStyle w:val="Prrafodelista"/>
        <w:numPr>
          <w:ilvl w:val="0"/>
          <w:numId w:val="4"/>
        </w:numPr>
        <w:ind w:left="0" w:firstLine="0"/>
        <w:contextualSpacing/>
        <w:jc w:val="both"/>
        <w:rPr>
          <w:rStyle w:val="eop"/>
          <w:rFonts w:ascii="Arial" w:hAnsi="Arial" w:cs="Arial"/>
          <w:b/>
          <w:bCs/>
          <w:sz w:val="22"/>
          <w:szCs w:val="22"/>
        </w:rPr>
      </w:pPr>
      <w:r w:rsidRPr="004E7FB3">
        <w:rPr>
          <w:rStyle w:val="normaltextrun"/>
          <w:rFonts w:ascii="Arial" w:hAnsi="Arial" w:cs="Arial"/>
          <w:b/>
          <w:bCs/>
          <w:sz w:val="22"/>
          <w:szCs w:val="22"/>
        </w:rPr>
        <w:t xml:space="preserve">Vigencia. </w:t>
      </w:r>
      <w:r w:rsidRPr="004E7FB3">
        <w:rPr>
          <w:rStyle w:val="normaltextrun"/>
          <w:rFonts w:ascii="Arial" w:hAnsi="Arial" w:cs="Arial"/>
          <w:sz w:val="22"/>
          <w:szCs w:val="22"/>
        </w:rPr>
        <w:t xml:space="preserve">La presente Resolución rige a partir de la fecha de su publicación en el Diario Oficial </w:t>
      </w:r>
      <w:r w:rsidR="005C4B1D" w:rsidRPr="004E7FB3">
        <w:rPr>
          <w:rStyle w:val="normaltextrun"/>
          <w:rFonts w:ascii="Arial" w:hAnsi="Arial" w:cs="Arial"/>
          <w:sz w:val="22"/>
          <w:szCs w:val="22"/>
        </w:rPr>
        <w:t xml:space="preserve">y </w:t>
      </w:r>
      <w:r w:rsidR="009B4815" w:rsidRPr="004E7FB3">
        <w:rPr>
          <w:rStyle w:val="normaltextrun"/>
          <w:rFonts w:ascii="Arial" w:hAnsi="Arial" w:cs="Arial"/>
          <w:sz w:val="22"/>
          <w:szCs w:val="22"/>
        </w:rPr>
        <w:t xml:space="preserve">surtirá efectos a partir de la fecha en que FINAGRO </w:t>
      </w:r>
      <w:r w:rsidR="7910963B" w:rsidRPr="004E7FB3">
        <w:rPr>
          <w:rStyle w:val="normaltextrun"/>
          <w:rFonts w:ascii="Arial" w:hAnsi="Arial" w:cs="Arial"/>
          <w:sz w:val="22"/>
          <w:szCs w:val="22"/>
        </w:rPr>
        <w:t>e</w:t>
      </w:r>
      <w:r w:rsidR="009B4815" w:rsidRPr="004E7FB3">
        <w:rPr>
          <w:rStyle w:val="normaltextrun"/>
          <w:rFonts w:ascii="Arial" w:hAnsi="Arial" w:cs="Arial"/>
          <w:sz w:val="22"/>
          <w:szCs w:val="22"/>
        </w:rPr>
        <w:t xml:space="preserve">mita la circular correspondiente </w:t>
      </w:r>
      <w:r w:rsidRPr="004E7FB3">
        <w:rPr>
          <w:rStyle w:val="normaltextrun"/>
          <w:rFonts w:ascii="Arial" w:hAnsi="Arial" w:cs="Arial"/>
          <w:sz w:val="22"/>
          <w:szCs w:val="22"/>
        </w:rPr>
        <w:t xml:space="preserve">y </w:t>
      </w:r>
      <w:r w:rsidR="4EB40D34" w:rsidRPr="004E7FB3">
        <w:rPr>
          <w:rStyle w:val="normaltextrun"/>
          <w:rFonts w:ascii="Arial" w:hAnsi="Arial" w:cs="Arial"/>
          <w:sz w:val="22"/>
          <w:szCs w:val="22"/>
        </w:rPr>
        <w:t xml:space="preserve">deroga </w:t>
      </w:r>
      <w:r w:rsidR="4EB40D34" w:rsidRPr="004E7FB3">
        <w:rPr>
          <w:rFonts w:ascii="Arial" w:eastAsia="Arial" w:hAnsi="Arial" w:cs="Arial"/>
          <w:color w:val="000000" w:themeColor="text1"/>
          <w:sz w:val="22"/>
          <w:szCs w:val="22"/>
        </w:rPr>
        <w:t>todas las disposiciones que le sean contrarias</w:t>
      </w:r>
      <w:r w:rsidR="00327256" w:rsidRPr="004E7FB3">
        <w:rPr>
          <w:rStyle w:val="normaltextrun"/>
          <w:rFonts w:ascii="Arial" w:hAnsi="Arial" w:cs="Arial"/>
          <w:sz w:val="22"/>
          <w:szCs w:val="22"/>
        </w:rPr>
        <w:t>.</w:t>
      </w:r>
    </w:p>
    <w:p w14:paraId="1E8B056F" w14:textId="77777777" w:rsidR="0050234B" w:rsidRPr="00C51EB4"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0C97A221" w14:textId="77777777" w:rsidR="0050234B" w:rsidRPr="00C51EB4" w:rsidRDefault="0050234B" w:rsidP="0050234B">
      <w:pPr>
        <w:rPr>
          <w:rStyle w:val="normaltextrun"/>
          <w:rFonts w:ascii="Arial" w:hAnsi="Arial" w:cs="Arial"/>
          <w:sz w:val="22"/>
          <w:szCs w:val="22"/>
          <w:lang w:eastAsia="es-CO"/>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t>PUBL</w:t>
      </w:r>
      <w:r w:rsidR="001C62E2" w:rsidRPr="00C51EB4">
        <w:rPr>
          <w:rFonts w:ascii="Arial" w:hAnsi="Arial" w:cs="Arial"/>
          <w:b/>
          <w:sz w:val="22"/>
          <w:szCs w:val="22"/>
        </w:rPr>
        <w:t>ÍQUESE Y CÚMPLASE</w:t>
      </w:r>
    </w:p>
    <w:p w14:paraId="1460258D" w14:textId="56582E3C"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5C4B1D">
        <w:rPr>
          <w:rFonts w:ascii="Arial" w:hAnsi="Arial" w:cs="Arial"/>
          <w:sz w:val="22"/>
          <w:szCs w:val="22"/>
        </w:rPr>
        <w:t>19</w:t>
      </w:r>
      <w:r w:rsidR="00526E6D" w:rsidRPr="00C51EB4">
        <w:rPr>
          <w:rFonts w:ascii="Arial" w:hAnsi="Arial" w:cs="Arial"/>
          <w:sz w:val="22"/>
          <w:szCs w:val="22"/>
        </w:rPr>
        <w:t xml:space="preserve"> días del mes de </w:t>
      </w:r>
      <w:r w:rsidR="005C4B1D">
        <w:rPr>
          <w:rFonts w:ascii="Arial" w:hAnsi="Arial" w:cs="Arial"/>
          <w:sz w:val="22"/>
          <w:szCs w:val="22"/>
        </w:rPr>
        <w:t>dici</w:t>
      </w:r>
      <w:r w:rsidR="00C26B1E" w:rsidRPr="00C51EB4">
        <w:rPr>
          <w:rFonts w:ascii="Arial" w:hAnsi="Arial" w:cs="Arial"/>
          <w:sz w:val="22"/>
          <w:szCs w:val="22"/>
        </w:rPr>
        <w:t>embre</w:t>
      </w:r>
      <w:r w:rsidR="00526E6D" w:rsidRPr="00C51EB4">
        <w:rPr>
          <w:rFonts w:ascii="Arial" w:hAnsi="Arial" w:cs="Arial"/>
          <w:sz w:val="22"/>
          <w:szCs w:val="22"/>
        </w:rPr>
        <w:t xml:space="preserve"> de 2023</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Pr="00C51EB4" w:rsidRDefault="00FE0D6D" w:rsidP="004341F6">
            <w:pPr>
              <w:rPr>
                <w:rFonts w:ascii="Arial" w:hAnsi="Arial" w:cs="Arial"/>
                <w:sz w:val="22"/>
                <w:szCs w:val="22"/>
              </w:rPr>
            </w:pPr>
          </w:p>
          <w:p w14:paraId="1D98DA1D" w14:textId="77777777" w:rsidR="00FE0D6D" w:rsidRPr="00C51EB4" w:rsidRDefault="00FE0D6D"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Pr="00C51EB4" w:rsidRDefault="00FE0D6D" w:rsidP="004341F6">
            <w:pPr>
              <w:rPr>
                <w:rFonts w:ascii="Arial" w:hAnsi="Arial" w:cs="Arial"/>
                <w:sz w:val="22"/>
                <w:szCs w:val="22"/>
              </w:rPr>
            </w:pPr>
          </w:p>
          <w:p w14:paraId="3B9F0178" w14:textId="77777777" w:rsidR="00FE0D6D" w:rsidRPr="00C51EB4" w:rsidRDefault="00FE0D6D" w:rsidP="004341F6">
            <w:pPr>
              <w:rPr>
                <w:rFonts w:ascii="Arial" w:hAnsi="Arial" w:cs="Arial"/>
                <w:sz w:val="22"/>
                <w:szCs w:val="22"/>
              </w:rPr>
            </w:pPr>
          </w:p>
          <w:p w14:paraId="7A13AE8C" w14:textId="77777777" w:rsidR="00FE0D6D" w:rsidRPr="00C51EB4" w:rsidRDefault="00FE0D6D"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9010E6">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71F9" w14:textId="77777777" w:rsidR="00B96FFB" w:rsidRDefault="00B96FFB" w:rsidP="00E32612">
      <w:r>
        <w:separator/>
      </w:r>
    </w:p>
  </w:endnote>
  <w:endnote w:type="continuationSeparator" w:id="0">
    <w:p w14:paraId="403C18B1" w14:textId="77777777" w:rsidR="00B96FFB" w:rsidRDefault="00B96FFB" w:rsidP="00E32612">
      <w:r>
        <w:continuationSeparator/>
      </w:r>
    </w:p>
  </w:endnote>
  <w:endnote w:type="continuationNotice" w:id="1">
    <w:p w14:paraId="05D76B22" w14:textId="77777777" w:rsidR="00B96FFB" w:rsidRDefault="00B96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B1B55" w14:textId="77777777" w:rsidR="00B96FFB" w:rsidRDefault="00B96FFB" w:rsidP="00E32612">
      <w:r>
        <w:separator/>
      </w:r>
    </w:p>
  </w:footnote>
  <w:footnote w:type="continuationSeparator" w:id="0">
    <w:p w14:paraId="7DDDF325" w14:textId="77777777" w:rsidR="00B96FFB" w:rsidRDefault="00B96FFB" w:rsidP="00E32612">
      <w:r>
        <w:continuationSeparator/>
      </w:r>
    </w:p>
  </w:footnote>
  <w:footnote w:type="continuationNotice" w:id="1">
    <w:p w14:paraId="2CD02578" w14:textId="77777777" w:rsidR="00B96FFB" w:rsidRDefault="00B96F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77777777" w:rsidR="002C0D7E" w:rsidRDefault="002C0D7E">
    <w:pPr>
      <w:pStyle w:val="Encabezado"/>
      <w:tabs>
        <w:tab w:val="clear" w:pos="4320"/>
        <w:tab w:val="clear" w:pos="8640"/>
        <w:tab w:val="center" w:pos="5220"/>
      </w:tabs>
      <w:spacing w:before="272"/>
      <w:rPr>
        <w:b/>
      </w:rPr>
    </w:pPr>
    <w:r>
      <w:rPr>
        <w:b/>
        <w:lang w:val="pt-BR"/>
      </w:rPr>
      <w:t>DECRETO NUMERO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xmlns:w16du="http://schemas.microsoft.com/office/word/2023/wordml/word16du">
          <w:pict>
            <v:rect id="Rectangle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5A47A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xmlns:w16du="http://schemas.microsoft.com/office/word/2023/wordml/word16du">
          <w:pict>
            <v:line id="Straight Connector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3E6F9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938BD60">
              <wp:simplePos x="0" y="0"/>
              <wp:positionH relativeFrom="page">
                <wp:posOffset>856259</wp:posOffset>
              </wp:positionH>
              <wp:positionV relativeFrom="margin">
                <wp:posOffset>-1186789</wp:posOffset>
              </wp:positionV>
              <wp:extent cx="6057900" cy="11200078"/>
              <wp:effectExtent l="0" t="0" r="19050" b="20955"/>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0007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xmlns:w16du="http://schemas.microsoft.com/office/word/2023/wordml/word16du">
          <w:pict>
            <v:rect id="Rectangle 1396593126" style="position:absolute;margin-left:67.4pt;margin-top:-93.45pt;width:477pt;height:88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spid="_x0000_s1026" o:allowincell="f" filled="f" strokeweight="2pt" w14:anchorId="163DAA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">
              <w10:wrap anchorx="page" anchory="margin"/>
            </v:rect>
          </w:pict>
        </mc:Fallback>
      </mc:AlternateContent>
    </w:r>
  </w:p>
  <w:p w14:paraId="342F126E" w14:textId="05AAB96C"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0976EC6"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435067FE"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81698A" w:rsidRPr="0081698A">
      <w:rPr>
        <w:rFonts w:ascii="Arial" w:hAnsi="Arial" w:cs="Arial"/>
        <w:sz w:val="16"/>
        <w:szCs w:val="16"/>
      </w:rPr>
      <w:t>“</w:t>
    </w:r>
    <w:r w:rsidR="0006563D" w:rsidRPr="0006563D">
      <w:rPr>
        <w:rFonts w:ascii="Arial" w:hAnsi="Arial" w:cs="Arial"/>
        <w:sz w:val="16"/>
        <w:szCs w:val="16"/>
      </w:rPr>
      <w:t>Por la cual se establece el Plan Anual de Incentivos para el Año 2024 y se dictan otras disposiciones”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v:rect id="Rectangle 946777198"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7BD9AA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05C996D1"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9F6C92">
      <w:rPr>
        <w:rFonts w:ascii="Arial" w:hAnsi="Arial"/>
        <w:szCs w:val="24"/>
      </w:rPr>
      <w:t>1</w:t>
    </w:r>
    <w:r w:rsidR="002D0CC2">
      <w:rPr>
        <w:rFonts w:ascii="Arial" w:hAnsi="Arial"/>
        <w:szCs w:val="24"/>
      </w:rPr>
      <w:t>3</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F4D"/>
    <w:multiLevelType w:val="hybridMultilevel"/>
    <w:tmpl w:val="D5FCA61E"/>
    <w:lvl w:ilvl="0" w:tplc="240A0019">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 w15:restartNumberingAfterBreak="0">
    <w:nsid w:val="018F6E44"/>
    <w:multiLevelType w:val="multilevel"/>
    <w:tmpl w:val="F61E7E5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1A33AC"/>
    <w:multiLevelType w:val="hybridMultilevel"/>
    <w:tmpl w:val="3BF6C366"/>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D5C2379"/>
    <w:multiLevelType w:val="hybridMultilevel"/>
    <w:tmpl w:val="1DA6DB0C"/>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E4821CE"/>
    <w:multiLevelType w:val="hybridMultilevel"/>
    <w:tmpl w:val="DF4E4936"/>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42A18F6"/>
    <w:multiLevelType w:val="hybridMultilevel"/>
    <w:tmpl w:val="808288CA"/>
    <w:lvl w:ilvl="0" w:tplc="3746F360">
      <w:start w:val="1"/>
      <w:numFmt w:val="decimal"/>
      <w:lvlText w:val="%1."/>
      <w:lvlJc w:val="left"/>
      <w:pPr>
        <w:ind w:left="1440" w:hanging="360"/>
      </w:pPr>
      <w:rPr>
        <w:rFonts w:hint="default"/>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2468A31D"/>
    <w:multiLevelType w:val="hybridMultilevel"/>
    <w:tmpl w:val="85405A6A"/>
    <w:lvl w:ilvl="0" w:tplc="E9BA3454">
      <w:start w:val="1"/>
      <w:numFmt w:val="decimal"/>
      <w:lvlText w:val="%1."/>
      <w:lvlJc w:val="left"/>
      <w:pPr>
        <w:ind w:left="720" w:hanging="360"/>
      </w:pPr>
    </w:lvl>
    <w:lvl w:ilvl="1" w:tplc="D5F496E2">
      <w:start w:val="1"/>
      <w:numFmt w:val="lowerLetter"/>
      <w:lvlText w:val="%2."/>
      <w:lvlJc w:val="left"/>
      <w:pPr>
        <w:ind w:left="1440" w:hanging="360"/>
      </w:pPr>
    </w:lvl>
    <w:lvl w:ilvl="2" w:tplc="0B7E3D46">
      <w:start w:val="1"/>
      <w:numFmt w:val="lowerRoman"/>
      <w:lvlText w:val="%3."/>
      <w:lvlJc w:val="right"/>
      <w:pPr>
        <w:ind w:left="2160" w:hanging="180"/>
      </w:pPr>
    </w:lvl>
    <w:lvl w:ilvl="3" w:tplc="366C25C2">
      <w:start w:val="1"/>
      <w:numFmt w:val="decimal"/>
      <w:lvlText w:val="%4."/>
      <w:lvlJc w:val="left"/>
      <w:pPr>
        <w:ind w:left="2880" w:hanging="360"/>
      </w:pPr>
    </w:lvl>
    <w:lvl w:ilvl="4" w:tplc="F5E619B6">
      <w:start w:val="1"/>
      <w:numFmt w:val="lowerLetter"/>
      <w:lvlText w:val="%5."/>
      <w:lvlJc w:val="left"/>
      <w:pPr>
        <w:ind w:left="3600" w:hanging="360"/>
      </w:pPr>
    </w:lvl>
    <w:lvl w:ilvl="5" w:tplc="CE2E67F8">
      <w:start w:val="1"/>
      <w:numFmt w:val="lowerRoman"/>
      <w:lvlText w:val="%6."/>
      <w:lvlJc w:val="right"/>
      <w:pPr>
        <w:ind w:left="4320" w:hanging="180"/>
      </w:pPr>
    </w:lvl>
    <w:lvl w:ilvl="6" w:tplc="F0DA5ECA">
      <w:start w:val="1"/>
      <w:numFmt w:val="decimal"/>
      <w:lvlText w:val="%7."/>
      <w:lvlJc w:val="left"/>
      <w:pPr>
        <w:ind w:left="5040" w:hanging="360"/>
      </w:pPr>
    </w:lvl>
    <w:lvl w:ilvl="7" w:tplc="E08E2460">
      <w:start w:val="1"/>
      <w:numFmt w:val="lowerLetter"/>
      <w:lvlText w:val="%8."/>
      <w:lvlJc w:val="left"/>
      <w:pPr>
        <w:ind w:left="5760" w:hanging="360"/>
      </w:pPr>
    </w:lvl>
    <w:lvl w:ilvl="8" w:tplc="FE7A3F1E">
      <w:start w:val="1"/>
      <w:numFmt w:val="lowerRoman"/>
      <w:lvlText w:val="%9."/>
      <w:lvlJc w:val="right"/>
      <w:pPr>
        <w:ind w:left="6480" w:hanging="180"/>
      </w:pPr>
    </w:lvl>
  </w:abstractNum>
  <w:abstractNum w:abstractNumId="8" w15:restartNumberingAfterBreak="0">
    <w:nsid w:val="2BD37C3D"/>
    <w:multiLevelType w:val="hybridMultilevel"/>
    <w:tmpl w:val="ECECBC32"/>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3260A0"/>
    <w:multiLevelType w:val="hybridMultilevel"/>
    <w:tmpl w:val="0F34A8D6"/>
    <w:lvl w:ilvl="0" w:tplc="C73CEBCE">
      <w:start w:val="1"/>
      <w:numFmt w:val="ordinalText"/>
      <w:lvlText w:val="%1."/>
      <w:lvlJc w:val="left"/>
      <w:pPr>
        <w:ind w:left="720"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3243F9"/>
    <w:multiLevelType w:val="hybridMultilevel"/>
    <w:tmpl w:val="D03E9B52"/>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0C37151"/>
    <w:multiLevelType w:val="hybridMultilevel"/>
    <w:tmpl w:val="03F06F60"/>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273A27"/>
    <w:multiLevelType w:val="hybridMultilevel"/>
    <w:tmpl w:val="E99E0A00"/>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81C5704"/>
    <w:multiLevelType w:val="hybridMultilevel"/>
    <w:tmpl w:val="E1E6C84E"/>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9D9741B"/>
    <w:multiLevelType w:val="hybridMultilevel"/>
    <w:tmpl w:val="7DE420BE"/>
    <w:lvl w:ilvl="0" w:tplc="7DE068D0">
      <w:start w:val="1"/>
      <w:numFmt w:val="lowerLetter"/>
      <w:lvlText w:val="%1."/>
      <w:lvlJc w:val="left"/>
      <w:pPr>
        <w:ind w:left="1440" w:hanging="360"/>
      </w:pPr>
      <w:rPr>
        <w:rFonts w:eastAsiaTheme="minorHAnsi" w:hint="default"/>
        <w:b/>
        <w:color w:val="auto"/>
        <w:sz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11DAF6A"/>
    <w:multiLevelType w:val="hybridMultilevel"/>
    <w:tmpl w:val="4E3A5AA4"/>
    <w:lvl w:ilvl="0" w:tplc="9C888074">
      <w:start w:val="1"/>
      <w:numFmt w:val="decimal"/>
      <w:lvlText w:val="%1."/>
      <w:lvlJc w:val="left"/>
      <w:pPr>
        <w:ind w:left="720" w:hanging="360"/>
      </w:pPr>
    </w:lvl>
    <w:lvl w:ilvl="1" w:tplc="5FB4E3A6">
      <w:start w:val="1"/>
      <w:numFmt w:val="lowerLetter"/>
      <w:lvlText w:val="%2."/>
      <w:lvlJc w:val="left"/>
      <w:pPr>
        <w:ind w:left="1440" w:hanging="360"/>
      </w:pPr>
    </w:lvl>
    <w:lvl w:ilvl="2" w:tplc="E01661DA">
      <w:start w:val="1"/>
      <w:numFmt w:val="lowerRoman"/>
      <w:lvlText w:val="%3."/>
      <w:lvlJc w:val="right"/>
      <w:pPr>
        <w:ind w:left="2160" w:hanging="180"/>
      </w:pPr>
    </w:lvl>
    <w:lvl w:ilvl="3" w:tplc="47029A3A">
      <w:start w:val="1"/>
      <w:numFmt w:val="decimal"/>
      <w:lvlText w:val="%4."/>
      <w:lvlJc w:val="left"/>
      <w:pPr>
        <w:ind w:left="2880" w:hanging="360"/>
      </w:pPr>
    </w:lvl>
    <w:lvl w:ilvl="4" w:tplc="1160E9AA">
      <w:start w:val="1"/>
      <w:numFmt w:val="lowerLetter"/>
      <w:lvlText w:val="%5."/>
      <w:lvlJc w:val="left"/>
      <w:pPr>
        <w:ind w:left="3600" w:hanging="360"/>
      </w:pPr>
    </w:lvl>
    <w:lvl w:ilvl="5" w:tplc="DB1440CA">
      <w:start w:val="1"/>
      <w:numFmt w:val="lowerRoman"/>
      <w:lvlText w:val="%6."/>
      <w:lvlJc w:val="right"/>
      <w:pPr>
        <w:ind w:left="4320" w:hanging="180"/>
      </w:pPr>
    </w:lvl>
    <w:lvl w:ilvl="6" w:tplc="F24E2AD8">
      <w:start w:val="1"/>
      <w:numFmt w:val="decimal"/>
      <w:lvlText w:val="%7."/>
      <w:lvlJc w:val="left"/>
      <w:pPr>
        <w:ind w:left="5040" w:hanging="360"/>
      </w:pPr>
    </w:lvl>
    <w:lvl w:ilvl="7" w:tplc="11A40566">
      <w:start w:val="1"/>
      <w:numFmt w:val="lowerLetter"/>
      <w:lvlText w:val="%8."/>
      <w:lvlJc w:val="left"/>
      <w:pPr>
        <w:ind w:left="5760" w:hanging="360"/>
      </w:pPr>
    </w:lvl>
    <w:lvl w:ilvl="8" w:tplc="528C1A54">
      <w:start w:val="1"/>
      <w:numFmt w:val="lowerRoman"/>
      <w:lvlText w:val="%9."/>
      <w:lvlJc w:val="right"/>
      <w:pPr>
        <w:ind w:left="6480" w:hanging="180"/>
      </w:pPr>
    </w:lvl>
  </w:abstractNum>
  <w:abstractNum w:abstractNumId="16" w15:restartNumberingAfterBreak="0">
    <w:nsid w:val="62CA195C"/>
    <w:multiLevelType w:val="multilevel"/>
    <w:tmpl w:val="A52ACD18"/>
    <w:lvl w:ilvl="0">
      <w:start w:val="1"/>
      <w:numFmt w:val="upperRoman"/>
      <w:lvlText w:val="%1."/>
      <w:lvlJc w:val="righ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F735F0"/>
    <w:multiLevelType w:val="hybridMultilevel"/>
    <w:tmpl w:val="E99E0A0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B64E72"/>
    <w:multiLevelType w:val="hybridMultilevel"/>
    <w:tmpl w:val="2CFAC802"/>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695B06FD"/>
    <w:multiLevelType w:val="hybridMultilevel"/>
    <w:tmpl w:val="74DCB882"/>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8E6481"/>
    <w:multiLevelType w:val="hybridMultilevel"/>
    <w:tmpl w:val="2BB068F0"/>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05F3ABB"/>
    <w:multiLevelType w:val="hybridMultilevel"/>
    <w:tmpl w:val="E2846C22"/>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24" w15:restartNumberingAfterBreak="0">
    <w:nsid w:val="764E607F"/>
    <w:multiLevelType w:val="hybridMultilevel"/>
    <w:tmpl w:val="5F1055C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240A0017">
      <w:start w:val="1"/>
      <w:numFmt w:val="lowerLetter"/>
      <w:lvlText w:val="%3)"/>
      <w:lvlJc w:val="left"/>
      <w:pPr>
        <w:ind w:left="2340" w:hanging="360"/>
      </w:pPr>
    </w:lvl>
    <w:lvl w:ilvl="3" w:tplc="3746F360">
      <w:start w:val="1"/>
      <w:numFmt w:val="decimal"/>
      <w:lvlText w:val="%4."/>
      <w:lvlJc w:val="left"/>
      <w:pPr>
        <w:ind w:left="720" w:hanging="360"/>
      </w:pPr>
      <w:rPr>
        <w:rFonts w:hint="default"/>
        <w:b/>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6C1E8C"/>
    <w:multiLevelType w:val="hybridMultilevel"/>
    <w:tmpl w:val="66509486"/>
    <w:lvl w:ilvl="0" w:tplc="240A0013">
      <w:start w:val="1"/>
      <w:numFmt w:val="upperRoman"/>
      <w:lvlText w:val="%1."/>
      <w:lvlJc w:val="righ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AE453E9"/>
    <w:multiLevelType w:val="hybridMultilevel"/>
    <w:tmpl w:val="9A68ED1C"/>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2995879">
    <w:abstractNumId w:val="7"/>
  </w:num>
  <w:num w:numId="2" w16cid:durableId="1527450777">
    <w:abstractNumId w:val="15"/>
  </w:num>
  <w:num w:numId="3" w16cid:durableId="166217368">
    <w:abstractNumId w:val="9"/>
  </w:num>
  <w:num w:numId="4" w16cid:durableId="1917977502">
    <w:abstractNumId w:val="22"/>
  </w:num>
  <w:num w:numId="5" w16cid:durableId="1685789170">
    <w:abstractNumId w:val="5"/>
  </w:num>
  <w:num w:numId="6" w16cid:durableId="182598766">
    <w:abstractNumId w:val="19"/>
  </w:num>
  <w:num w:numId="7" w16cid:durableId="899754182">
    <w:abstractNumId w:val="23"/>
  </w:num>
  <w:num w:numId="8" w16cid:durableId="947587444">
    <w:abstractNumId w:val="1"/>
  </w:num>
  <w:num w:numId="9" w16cid:durableId="705763844">
    <w:abstractNumId w:val="24"/>
  </w:num>
  <w:num w:numId="10" w16cid:durableId="1901092899">
    <w:abstractNumId w:val="0"/>
  </w:num>
  <w:num w:numId="11" w16cid:durableId="1830440095">
    <w:abstractNumId w:val="8"/>
  </w:num>
  <w:num w:numId="12" w16cid:durableId="1308239657">
    <w:abstractNumId w:val="3"/>
  </w:num>
  <w:num w:numId="13" w16cid:durableId="909536674">
    <w:abstractNumId w:val="11"/>
  </w:num>
  <w:num w:numId="14" w16cid:durableId="1531338221">
    <w:abstractNumId w:val="2"/>
  </w:num>
  <w:num w:numId="15" w16cid:durableId="16659155">
    <w:abstractNumId w:val="25"/>
  </w:num>
  <w:num w:numId="16" w16cid:durableId="1381049667">
    <w:abstractNumId w:val="12"/>
  </w:num>
  <w:num w:numId="17" w16cid:durableId="914968961">
    <w:abstractNumId w:val="20"/>
  </w:num>
  <w:num w:numId="18" w16cid:durableId="647439130">
    <w:abstractNumId w:val="4"/>
  </w:num>
  <w:num w:numId="19" w16cid:durableId="369843127">
    <w:abstractNumId w:val="16"/>
  </w:num>
  <w:num w:numId="20" w16cid:durableId="1387728188">
    <w:abstractNumId w:val="26"/>
  </w:num>
  <w:num w:numId="21" w16cid:durableId="873617592">
    <w:abstractNumId w:val="18"/>
  </w:num>
  <w:num w:numId="22" w16cid:durableId="1965848177">
    <w:abstractNumId w:val="10"/>
  </w:num>
  <w:num w:numId="23" w16cid:durableId="1861502718">
    <w:abstractNumId w:val="17"/>
  </w:num>
  <w:num w:numId="24" w16cid:durableId="1944148733">
    <w:abstractNumId w:val="21"/>
  </w:num>
  <w:num w:numId="25" w16cid:durableId="1430151862">
    <w:abstractNumId w:val="6"/>
  </w:num>
  <w:num w:numId="26" w16cid:durableId="1962301780">
    <w:abstractNumId w:val="14"/>
  </w:num>
  <w:num w:numId="27" w16cid:durableId="6777033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0"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544"/>
    <w:rsid w:val="00005B7B"/>
    <w:rsid w:val="000072DD"/>
    <w:rsid w:val="0000754E"/>
    <w:rsid w:val="00007B57"/>
    <w:rsid w:val="00010094"/>
    <w:rsid w:val="00010204"/>
    <w:rsid w:val="00010331"/>
    <w:rsid w:val="00010ED1"/>
    <w:rsid w:val="00012089"/>
    <w:rsid w:val="0001264F"/>
    <w:rsid w:val="000154CD"/>
    <w:rsid w:val="000158E6"/>
    <w:rsid w:val="0001699A"/>
    <w:rsid w:val="000201CF"/>
    <w:rsid w:val="000212FB"/>
    <w:rsid w:val="0002250F"/>
    <w:rsid w:val="000227DF"/>
    <w:rsid w:val="000230ED"/>
    <w:rsid w:val="0002312C"/>
    <w:rsid w:val="00023F01"/>
    <w:rsid w:val="00025988"/>
    <w:rsid w:val="00025CA3"/>
    <w:rsid w:val="00026C2E"/>
    <w:rsid w:val="00027A4E"/>
    <w:rsid w:val="00030C63"/>
    <w:rsid w:val="0003124A"/>
    <w:rsid w:val="00033AC3"/>
    <w:rsid w:val="000352D6"/>
    <w:rsid w:val="000355C4"/>
    <w:rsid w:val="00035AA1"/>
    <w:rsid w:val="000361A3"/>
    <w:rsid w:val="000404E3"/>
    <w:rsid w:val="00040B14"/>
    <w:rsid w:val="00042175"/>
    <w:rsid w:val="00043D33"/>
    <w:rsid w:val="000449BD"/>
    <w:rsid w:val="00044EA3"/>
    <w:rsid w:val="00044EEC"/>
    <w:rsid w:val="00045015"/>
    <w:rsid w:val="0004509A"/>
    <w:rsid w:val="000451C8"/>
    <w:rsid w:val="00046650"/>
    <w:rsid w:val="0004702E"/>
    <w:rsid w:val="0004728D"/>
    <w:rsid w:val="00050425"/>
    <w:rsid w:val="00051496"/>
    <w:rsid w:val="00052445"/>
    <w:rsid w:val="000527FC"/>
    <w:rsid w:val="0005295D"/>
    <w:rsid w:val="00053FB1"/>
    <w:rsid w:val="00054C2F"/>
    <w:rsid w:val="000556C4"/>
    <w:rsid w:val="00055981"/>
    <w:rsid w:val="00056535"/>
    <w:rsid w:val="00060276"/>
    <w:rsid w:val="0006209E"/>
    <w:rsid w:val="0006235E"/>
    <w:rsid w:val="00064702"/>
    <w:rsid w:val="0006563D"/>
    <w:rsid w:val="000656CF"/>
    <w:rsid w:val="00066316"/>
    <w:rsid w:val="00067A1C"/>
    <w:rsid w:val="0007065A"/>
    <w:rsid w:val="00071A48"/>
    <w:rsid w:val="00071F62"/>
    <w:rsid w:val="0007207E"/>
    <w:rsid w:val="0007221D"/>
    <w:rsid w:val="0007236E"/>
    <w:rsid w:val="00072933"/>
    <w:rsid w:val="00073AFB"/>
    <w:rsid w:val="000744C3"/>
    <w:rsid w:val="00074847"/>
    <w:rsid w:val="0007714E"/>
    <w:rsid w:val="00077DB6"/>
    <w:rsid w:val="000806AC"/>
    <w:rsid w:val="0008094D"/>
    <w:rsid w:val="000810B2"/>
    <w:rsid w:val="000811A3"/>
    <w:rsid w:val="000814D8"/>
    <w:rsid w:val="00081913"/>
    <w:rsid w:val="00083B36"/>
    <w:rsid w:val="00084DA9"/>
    <w:rsid w:val="00085073"/>
    <w:rsid w:val="0008516B"/>
    <w:rsid w:val="00086E0C"/>
    <w:rsid w:val="00087C82"/>
    <w:rsid w:val="00090681"/>
    <w:rsid w:val="0009150C"/>
    <w:rsid w:val="000933A6"/>
    <w:rsid w:val="00093447"/>
    <w:rsid w:val="00094DBB"/>
    <w:rsid w:val="00094DC6"/>
    <w:rsid w:val="00096102"/>
    <w:rsid w:val="00097566"/>
    <w:rsid w:val="00097A3E"/>
    <w:rsid w:val="000A0504"/>
    <w:rsid w:val="000A0E84"/>
    <w:rsid w:val="000A0ECE"/>
    <w:rsid w:val="000A130D"/>
    <w:rsid w:val="000A13A5"/>
    <w:rsid w:val="000A16DC"/>
    <w:rsid w:val="000A27DF"/>
    <w:rsid w:val="000A4750"/>
    <w:rsid w:val="000A5546"/>
    <w:rsid w:val="000A6BAA"/>
    <w:rsid w:val="000A74BF"/>
    <w:rsid w:val="000A74C3"/>
    <w:rsid w:val="000A7933"/>
    <w:rsid w:val="000A797D"/>
    <w:rsid w:val="000B0550"/>
    <w:rsid w:val="000B1232"/>
    <w:rsid w:val="000B1296"/>
    <w:rsid w:val="000B169F"/>
    <w:rsid w:val="000B25A8"/>
    <w:rsid w:val="000B3049"/>
    <w:rsid w:val="000B318C"/>
    <w:rsid w:val="000B4D26"/>
    <w:rsid w:val="000B6CD2"/>
    <w:rsid w:val="000B6DC5"/>
    <w:rsid w:val="000B6EAE"/>
    <w:rsid w:val="000B72B8"/>
    <w:rsid w:val="000B7D2D"/>
    <w:rsid w:val="000C089D"/>
    <w:rsid w:val="000C1C47"/>
    <w:rsid w:val="000C2E40"/>
    <w:rsid w:val="000C31CF"/>
    <w:rsid w:val="000C3D36"/>
    <w:rsid w:val="000C3DCE"/>
    <w:rsid w:val="000C4835"/>
    <w:rsid w:val="000C524D"/>
    <w:rsid w:val="000C61F6"/>
    <w:rsid w:val="000C64DB"/>
    <w:rsid w:val="000C6683"/>
    <w:rsid w:val="000D0459"/>
    <w:rsid w:val="000D1D66"/>
    <w:rsid w:val="000D249E"/>
    <w:rsid w:val="000D2E14"/>
    <w:rsid w:val="000D38B8"/>
    <w:rsid w:val="000D3FE2"/>
    <w:rsid w:val="000D4962"/>
    <w:rsid w:val="000D5B9E"/>
    <w:rsid w:val="000D615A"/>
    <w:rsid w:val="000D74CE"/>
    <w:rsid w:val="000D7890"/>
    <w:rsid w:val="000D78A8"/>
    <w:rsid w:val="000D7FDB"/>
    <w:rsid w:val="000E03A8"/>
    <w:rsid w:val="000E075C"/>
    <w:rsid w:val="000E108F"/>
    <w:rsid w:val="000E17C0"/>
    <w:rsid w:val="000E195B"/>
    <w:rsid w:val="000E1B8D"/>
    <w:rsid w:val="000E4CB3"/>
    <w:rsid w:val="000E4F26"/>
    <w:rsid w:val="000E53CD"/>
    <w:rsid w:val="000E5D07"/>
    <w:rsid w:val="000E756F"/>
    <w:rsid w:val="000E7B9E"/>
    <w:rsid w:val="000E7EF0"/>
    <w:rsid w:val="000F09EC"/>
    <w:rsid w:val="000F114A"/>
    <w:rsid w:val="000F2083"/>
    <w:rsid w:val="000F3BB9"/>
    <w:rsid w:val="000F464F"/>
    <w:rsid w:val="000F5BD8"/>
    <w:rsid w:val="000F69AA"/>
    <w:rsid w:val="000F6AB8"/>
    <w:rsid w:val="000F6B31"/>
    <w:rsid w:val="000F7258"/>
    <w:rsid w:val="0010064F"/>
    <w:rsid w:val="0010194E"/>
    <w:rsid w:val="00102116"/>
    <w:rsid w:val="00103801"/>
    <w:rsid w:val="001044DA"/>
    <w:rsid w:val="001065D2"/>
    <w:rsid w:val="00106644"/>
    <w:rsid w:val="00106B4C"/>
    <w:rsid w:val="00107DAE"/>
    <w:rsid w:val="001109F3"/>
    <w:rsid w:val="001111F7"/>
    <w:rsid w:val="00111465"/>
    <w:rsid w:val="00113922"/>
    <w:rsid w:val="00113A63"/>
    <w:rsid w:val="00114580"/>
    <w:rsid w:val="001151EA"/>
    <w:rsid w:val="00116829"/>
    <w:rsid w:val="001168D3"/>
    <w:rsid w:val="00117396"/>
    <w:rsid w:val="00117682"/>
    <w:rsid w:val="00117B46"/>
    <w:rsid w:val="00120B65"/>
    <w:rsid w:val="001211F9"/>
    <w:rsid w:val="00121AFE"/>
    <w:rsid w:val="0012259D"/>
    <w:rsid w:val="001229BF"/>
    <w:rsid w:val="00122D9B"/>
    <w:rsid w:val="00123114"/>
    <w:rsid w:val="001250C9"/>
    <w:rsid w:val="00125134"/>
    <w:rsid w:val="001251E4"/>
    <w:rsid w:val="0012640C"/>
    <w:rsid w:val="0012674B"/>
    <w:rsid w:val="00126AE8"/>
    <w:rsid w:val="00126B09"/>
    <w:rsid w:val="00126B9C"/>
    <w:rsid w:val="0012710D"/>
    <w:rsid w:val="001272F3"/>
    <w:rsid w:val="0012756E"/>
    <w:rsid w:val="00127E9A"/>
    <w:rsid w:val="0013029B"/>
    <w:rsid w:val="001305DF"/>
    <w:rsid w:val="00130799"/>
    <w:rsid w:val="00131BD0"/>
    <w:rsid w:val="00132346"/>
    <w:rsid w:val="00132B85"/>
    <w:rsid w:val="00134747"/>
    <w:rsid w:val="0013494C"/>
    <w:rsid w:val="00134E4A"/>
    <w:rsid w:val="001354F9"/>
    <w:rsid w:val="00135D53"/>
    <w:rsid w:val="00136EC0"/>
    <w:rsid w:val="0013747D"/>
    <w:rsid w:val="001375D7"/>
    <w:rsid w:val="00137774"/>
    <w:rsid w:val="00137F3F"/>
    <w:rsid w:val="00140549"/>
    <w:rsid w:val="00140CCF"/>
    <w:rsid w:val="0014201C"/>
    <w:rsid w:val="00142810"/>
    <w:rsid w:val="00142E13"/>
    <w:rsid w:val="001438EC"/>
    <w:rsid w:val="001440BE"/>
    <w:rsid w:val="001447E0"/>
    <w:rsid w:val="001453EF"/>
    <w:rsid w:val="00145529"/>
    <w:rsid w:val="00145F85"/>
    <w:rsid w:val="00146A7E"/>
    <w:rsid w:val="00147720"/>
    <w:rsid w:val="00150A01"/>
    <w:rsid w:val="00151085"/>
    <w:rsid w:val="00152DDF"/>
    <w:rsid w:val="001547F5"/>
    <w:rsid w:val="00154E9D"/>
    <w:rsid w:val="00156B29"/>
    <w:rsid w:val="0016079F"/>
    <w:rsid w:val="001627B0"/>
    <w:rsid w:val="00163245"/>
    <w:rsid w:val="00165C0E"/>
    <w:rsid w:val="00166408"/>
    <w:rsid w:val="001664E7"/>
    <w:rsid w:val="00166B68"/>
    <w:rsid w:val="00170096"/>
    <w:rsid w:val="001712EB"/>
    <w:rsid w:val="00172838"/>
    <w:rsid w:val="0017387F"/>
    <w:rsid w:val="001738B0"/>
    <w:rsid w:val="00173E42"/>
    <w:rsid w:val="00173F70"/>
    <w:rsid w:val="00174F2A"/>
    <w:rsid w:val="00175310"/>
    <w:rsid w:val="001758A0"/>
    <w:rsid w:val="00175965"/>
    <w:rsid w:val="00176D40"/>
    <w:rsid w:val="00176E65"/>
    <w:rsid w:val="001776C3"/>
    <w:rsid w:val="0018089B"/>
    <w:rsid w:val="00182C2B"/>
    <w:rsid w:val="00184507"/>
    <w:rsid w:val="0018534E"/>
    <w:rsid w:val="00185C8A"/>
    <w:rsid w:val="0018637E"/>
    <w:rsid w:val="001877D8"/>
    <w:rsid w:val="00187A53"/>
    <w:rsid w:val="0019130F"/>
    <w:rsid w:val="001919F3"/>
    <w:rsid w:val="00191C88"/>
    <w:rsid w:val="0019242C"/>
    <w:rsid w:val="001935E3"/>
    <w:rsid w:val="00193C9C"/>
    <w:rsid w:val="001944F3"/>
    <w:rsid w:val="001946A4"/>
    <w:rsid w:val="00194A55"/>
    <w:rsid w:val="00194C2D"/>
    <w:rsid w:val="00194E03"/>
    <w:rsid w:val="0019511A"/>
    <w:rsid w:val="001953A1"/>
    <w:rsid w:val="001962BD"/>
    <w:rsid w:val="001977A4"/>
    <w:rsid w:val="00197BA2"/>
    <w:rsid w:val="00197F46"/>
    <w:rsid w:val="001A06C2"/>
    <w:rsid w:val="001A1925"/>
    <w:rsid w:val="001A25BB"/>
    <w:rsid w:val="001A308A"/>
    <w:rsid w:val="001A338E"/>
    <w:rsid w:val="001A6037"/>
    <w:rsid w:val="001A6DCD"/>
    <w:rsid w:val="001A7638"/>
    <w:rsid w:val="001A76B1"/>
    <w:rsid w:val="001B0584"/>
    <w:rsid w:val="001B126F"/>
    <w:rsid w:val="001B13A6"/>
    <w:rsid w:val="001B3A5B"/>
    <w:rsid w:val="001B5957"/>
    <w:rsid w:val="001B6980"/>
    <w:rsid w:val="001B6A59"/>
    <w:rsid w:val="001B6E5B"/>
    <w:rsid w:val="001B7188"/>
    <w:rsid w:val="001B7B91"/>
    <w:rsid w:val="001C0078"/>
    <w:rsid w:val="001C03E6"/>
    <w:rsid w:val="001C0CFE"/>
    <w:rsid w:val="001C0E1D"/>
    <w:rsid w:val="001C19B2"/>
    <w:rsid w:val="001C1A80"/>
    <w:rsid w:val="001C22E7"/>
    <w:rsid w:val="001C281C"/>
    <w:rsid w:val="001C2AB6"/>
    <w:rsid w:val="001C34A6"/>
    <w:rsid w:val="001C3AA1"/>
    <w:rsid w:val="001C3F2B"/>
    <w:rsid w:val="001C4E2A"/>
    <w:rsid w:val="001C5308"/>
    <w:rsid w:val="001C53D2"/>
    <w:rsid w:val="001C62E2"/>
    <w:rsid w:val="001C62E4"/>
    <w:rsid w:val="001D05C4"/>
    <w:rsid w:val="001D1446"/>
    <w:rsid w:val="001D1557"/>
    <w:rsid w:val="001D1773"/>
    <w:rsid w:val="001D2268"/>
    <w:rsid w:val="001D2A40"/>
    <w:rsid w:val="001D34E2"/>
    <w:rsid w:val="001D42E8"/>
    <w:rsid w:val="001D48BD"/>
    <w:rsid w:val="001D4B4F"/>
    <w:rsid w:val="001D522A"/>
    <w:rsid w:val="001D63F8"/>
    <w:rsid w:val="001D6B7C"/>
    <w:rsid w:val="001E1848"/>
    <w:rsid w:val="001E23CB"/>
    <w:rsid w:val="001E3C36"/>
    <w:rsid w:val="001E4DC1"/>
    <w:rsid w:val="001E5FB9"/>
    <w:rsid w:val="001E676E"/>
    <w:rsid w:val="001E679D"/>
    <w:rsid w:val="001E67D1"/>
    <w:rsid w:val="001E69C7"/>
    <w:rsid w:val="001E6DAC"/>
    <w:rsid w:val="001E75DB"/>
    <w:rsid w:val="001E75E7"/>
    <w:rsid w:val="001E7F03"/>
    <w:rsid w:val="001F23CE"/>
    <w:rsid w:val="001F2C17"/>
    <w:rsid w:val="001F6237"/>
    <w:rsid w:val="001F6575"/>
    <w:rsid w:val="001F70A8"/>
    <w:rsid w:val="00201497"/>
    <w:rsid w:val="00202FB2"/>
    <w:rsid w:val="00203FA5"/>
    <w:rsid w:val="00204097"/>
    <w:rsid w:val="00204609"/>
    <w:rsid w:val="002053CB"/>
    <w:rsid w:val="00205AAC"/>
    <w:rsid w:val="0021171E"/>
    <w:rsid w:val="002118B0"/>
    <w:rsid w:val="00213B94"/>
    <w:rsid w:val="00215270"/>
    <w:rsid w:val="00215B7D"/>
    <w:rsid w:val="00215BCD"/>
    <w:rsid w:val="002163DF"/>
    <w:rsid w:val="002170BB"/>
    <w:rsid w:val="002173E1"/>
    <w:rsid w:val="00217CC0"/>
    <w:rsid w:val="00220402"/>
    <w:rsid w:val="002210EE"/>
    <w:rsid w:val="00221BA0"/>
    <w:rsid w:val="002225A6"/>
    <w:rsid w:val="002233F2"/>
    <w:rsid w:val="00224FEF"/>
    <w:rsid w:val="00226CF2"/>
    <w:rsid w:val="002278B3"/>
    <w:rsid w:val="00230473"/>
    <w:rsid w:val="0023142E"/>
    <w:rsid w:val="0023316A"/>
    <w:rsid w:val="00233BEB"/>
    <w:rsid w:val="00233C4E"/>
    <w:rsid w:val="0023483A"/>
    <w:rsid w:val="0023647F"/>
    <w:rsid w:val="0024156E"/>
    <w:rsid w:val="00241CB3"/>
    <w:rsid w:val="00241E97"/>
    <w:rsid w:val="00241EE5"/>
    <w:rsid w:val="00242263"/>
    <w:rsid w:val="00242E6B"/>
    <w:rsid w:val="00244EC1"/>
    <w:rsid w:val="00246DDC"/>
    <w:rsid w:val="00247BF4"/>
    <w:rsid w:val="00250751"/>
    <w:rsid w:val="002516D4"/>
    <w:rsid w:val="00252CDA"/>
    <w:rsid w:val="00254805"/>
    <w:rsid w:val="00254830"/>
    <w:rsid w:val="0025552E"/>
    <w:rsid w:val="00255E6A"/>
    <w:rsid w:val="002560FD"/>
    <w:rsid w:val="00257C2B"/>
    <w:rsid w:val="002602C5"/>
    <w:rsid w:val="00260BCD"/>
    <w:rsid w:val="002620F6"/>
    <w:rsid w:val="002636DD"/>
    <w:rsid w:val="00263DF7"/>
    <w:rsid w:val="002659E4"/>
    <w:rsid w:val="00265B8D"/>
    <w:rsid w:val="00267B73"/>
    <w:rsid w:val="00270137"/>
    <w:rsid w:val="00270273"/>
    <w:rsid w:val="00270C47"/>
    <w:rsid w:val="00271B55"/>
    <w:rsid w:val="002734B3"/>
    <w:rsid w:val="002740B0"/>
    <w:rsid w:val="0027599C"/>
    <w:rsid w:val="00275B6E"/>
    <w:rsid w:val="0027708A"/>
    <w:rsid w:val="002805C6"/>
    <w:rsid w:val="00281DE8"/>
    <w:rsid w:val="002823BB"/>
    <w:rsid w:val="00283F18"/>
    <w:rsid w:val="00285B51"/>
    <w:rsid w:val="00286FD7"/>
    <w:rsid w:val="0028733B"/>
    <w:rsid w:val="00287EA2"/>
    <w:rsid w:val="002906A2"/>
    <w:rsid w:val="002906D0"/>
    <w:rsid w:val="00290A20"/>
    <w:rsid w:val="00292099"/>
    <w:rsid w:val="002929D6"/>
    <w:rsid w:val="00292EAC"/>
    <w:rsid w:val="00293FE0"/>
    <w:rsid w:val="0029526D"/>
    <w:rsid w:val="00296366"/>
    <w:rsid w:val="00296383"/>
    <w:rsid w:val="00296D00"/>
    <w:rsid w:val="002971C5"/>
    <w:rsid w:val="0029736E"/>
    <w:rsid w:val="00297C35"/>
    <w:rsid w:val="002A1414"/>
    <w:rsid w:val="002A37E9"/>
    <w:rsid w:val="002A3E3E"/>
    <w:rsid w:val="002A53A6"/>
    <w:rsid w:val="002A5518"/>
    <w:rsid w:val="002B1350"/>
    <w:rsid w:val="002B25F6"/>
    <w:rsid w:val="002B27DF"/>
    <w:rsid w:val="002B30B6"/>
    <w:rsid w:val="002B43E3"/>
    <w:rsid w:val="002B6A67"/>
    <w:rsid w:val="002C0D7E"/>
    <w:rsid w:val="002C13A0"/>
    <w:rsid w:val="002C18B5"/>
    <w:rsid w:val="002C2C82"/>
    <w:rsid w:val="002C30B1"/>
    <w:rsid w:val="002C36E8"/>
    <w:rsid w:val="002C4F61"/>
    <w:rsid w:val="002C61D3"/>
    <w:rsid w:val="002C6E00"/>
    <w:rsid w:val="002C7935"/>
    <w:rsid w:val="002C7B04"/>
    <w:rsid w:val="002D0068"/>
    <w:rsid w:val="002D0CC2"/>
    <w:rsid w:val="002D18C5"/>
    <w:rsid w:val="002D4853"/>
    <w:rsid w:val="002D4A05"/>
    <w:rsid w:val="002D4CE6"/>
    <w:rsid w:val="002D6570"/>
    <w:rsid w:val="002D6624"/>
    <w:rsid w:val="002D789C"/>
    <w:rsid w:val="002D7915"/>
    <w:rsid w:val="002D7E69"/>
    <w:rsid w:val="002E063F"/>
    <w:rsid w:val="002E43CA"/>
    <w:rsid w:val="002E49AD"/>
    <w:rsid w:val="002E4B8E"/>
    <w:rsid w:val="002E5083"/>
    <w:rsid w:val="002E61DA"/>
    <w:rsid w:val="002E7C8A"/>
    <w:rsid w:val="002F0A30"/>
    <w:rsid w:val="002F0E0E"/>
    <w:rsid w:val="002F1893"/>
    <w:rsid w:val="002F2CB6"/>
    <w:rsid w:val="002F57FE"/>
    <w:rsid w:val="002F6FA4"/>
    <w:rsid w:val="002F7135"/>
    <w:rsid w:val="002F7CF0"/>
    <w:rsid w:val="00300B7B"/>
    <w:rsid w:val="00301A82"/>
    <w:rsid w:val="00302061"/>
    <w:rsid w:val="003022E3"/>
    <w:rsid w:val="0030259E"/>
    <w:rsid w:val="00302C72"/>
    <w:rsid w:val="00303098"/>
    <w:rsid w:val="003042C1"/>
    <w:rsid w:val="003046D6"/>
    <w:rsid w:val="00304977"/>
    <w:rsid w:val="00305ABD"/>
    <w:rsid w:val="003060AE"/>
    <w:rsid w:val="0030634B"/>
    <w:rsid w:val="00306A8B"/>
    <w:rsid w:val="003070BD"/>
    <w:rsid w:val="003106AF"/>
    <w:rsid w:val="00310A9C"/>
    <w:rsid w:val="003110B3"/>
    <w:rsid w:val="0031238E"/>
    <w:rsid w:val="003123BD"/>
    <w:rsid w:val="003127D6"/>
    <w:rsid w:val="00314CF2"/>
    <w:rsid w:val="00314F07"/>
    <w:rsid w:val="003155ED"/>
    <w:rsid w:val="00315EE7"/>
    <w:rsid w:val="00316435"/>
    <w:rsid w:val="00316C33"/>
    <w:rsid w:val="0031721E"/>
    <w:rsid w:val="003202DB"/>
    <w:rsid w:val="003212FB"/>
    <w:rsid w:val="00321434"/>
    <w:rsid w:val="00322E42"/>
    <w:rsid w:val="00324E46"/>
    <w:rsid w:val="00325FA7"/>
    <w:rsid w:val="00326B00"/>
    <w:rsid w:val="00326E42"/>
    <w:rsid w:val="00326EAC"/>
    <w:rsid w:val="00327256"/>
    <w:rsid w:val="003279AF"/>
    <w:rsid w:val="00331758"/>
    <w:rsid w:val="00332496"/>
    <w:rsid w:val="00332766"/>
    <w:rsid w:val="003333EF"/>
    <w:rsid w:val="00333495"/>
    <w:rsid w:val="00335D72"/>
    <w:rsid w:val="0033786F"/>
    <w:rsid w:val="00341367"/>
    <w:rsid w:val="00341560"/>
    <w:rsid w:val="00343208"/>
    <w:rsid w:val="00343DF1"/>
    <w:rsid w:val="00344328"/>
    <w:rsid w:val="003455EA"/>
    <w:rsid w:val="00345C78"/>
    <w:rsid w:val="00345E00"/>
    <w:rsid w:val="00345F07"/>
    <w:rsid w:val="003470F2"/>
    <w:rsid w:val="00347758"/>
    <w:rsid w:val="00347D0F"/>
    <w:rsid w:val="00351A10"/>
    <w:rsid w:val="00351E52"/>
    <w:rsid w:val="00353259"/>
    <w:rsid w:val="0035328F"/>
    <w:rsid w:val="003534C1"/>
    <w:rsid w:val="00354A42"/>
    <w:rsid w:val="00354F8C"/>
    <w:rsid w:val="003559E3"/>
    <w:rsid w:val="0035705F"/>
    <w:rsid w:val="0035724C"/>
    <w:rsid w:val="00360368"/>
    <w:rsid w:val="00360DCC"/>
    <w:rsid w:val="0036171C"/>
    <w:rsid w:val="003620BA"/>
    <w:rsid w:val="003644DE"/>
    <w:rsid w:val="0036461E"/>
    <w:rsid w:val="003660F7"/>
    <w:rsid w:val="003703E9"/>
    <w:rsid w:val="0037147C"/>
    <w:rsid w:val="003716D5"/>
    <w:rsid w:val="00371C40"/>
    <w:rsid w:val="003728D7"/>
    <w:rsid w:val="003734F8"/>
    <w:rsid w:val="0037564E"/>
    <w:rsid w:val="00375A45"/>
    <w:rsid w:val="00375C97"/>
    <w:rsid w:val="003769FA"/>
    <w:rsid w:val="003775D1"/>
    <w:rsid w:val="003810C2"/>
    <w:rsid w:val="003815DC"/>
    <w:rsid w:val="00382DBC"/>
    <w:rsid w:val="00386016"/>
    <w:rsid w:val="003903F6"/>
    <w:rsid w:val="003905D1"/>
    <w:rsid w:val="003907B3"/>
    <w:rsid w:val="00390BE2"/>
    <w:rsid w:val="00390C66"/>
    <w:rsid w:val="0039446E"/>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604"/>
    <w:rsid w:val="003A691B"/>
    <w:rsid w:val="003A6B87"/>
    <w:rsid w:val="003A7E21"/>
    <w:rsid w:val="003B065B"/>
    <w:rsid w:val="003B1A37"/>
    <w:rsid w:val="003B1F84"/>
    <w:rsid w:val="003B21F0"/>
    <w:rsid w:val="003B3B56"/>
    <w:rsid w:val="003B3D5D"/>
    <w:rsid w:val="003B6285"/>
    <w:rsid w:val="003B77CB"/>
    <w:rsid w:val="003C277A"/>
    <w:rsid w:val="003C2812"/>
    <w:rsid w:val="003C3997"/>
    <w:rsid w:val="003C3A40"/>
    <w:rsid w:val="003C58BC"/>
    <w:rsid w:val="003C5E63"/>
    <w:rsid w:val="003C6B76"/>
    <w:rsid w:val="003C6CA5"/>
    <w:rsid w:val="003C7339"/>
    <w:rsid w:val="003C73A5"/>
    <w:rsid w:val="003D0398"/>
    <w:rsid w:val="003D07A1"/>
    <w:rsid w:val="003D0AE8"/>
    <w:rsid w:val="003D1156"/>
    <w:rsid w:val="003D15B5"/>
    <w:rsid w:val="003D1A3A"/>
    <w:rsid w:val="003D1E56"/>
    <w:rsid w:val="003D2B9A"/>
    <w:rsid w:val="003D4B37"/>
    <w:rsid w:val="003D4F81"/>
    <w:rsid w:val="003D5013"/>
    <w:rsid w:val="003D5122"/>
    <w:rsid w:val="003D7435"/>
    <w:rsid w:val="003D7B33"/>
    <w:rsid w:val="003E0359"/>
    <w:rsid w:val="003E03C8"/>
    <w:rsid w:val="003E199E"/>
    <w:rsid w:val="003E23B2"/>
    <w:rsid w:val="003E273B"/>
    <w:rsid w:val="003E2E39"/>
    <w:rsid w:val="003E3C2D"/>
    <w:rsid w:val="003E69DD"/>
    <w:rsid w:val="003E6CB4"/>
    <w:rsid w:val="003E7B1F"/>
    <w:rsid w:val="003E7E0F"/>
    <w:rsid w:val="003E7EF0"/>
    <w:rsid w:val="003F03EB"/>
    <w:rsid w:val="003F05CF"/>
    <w:rsid w:val="003F2226"/>
    <w:rsid w:val="003F321B"/>
    <w:rsid w:val="003F3975"/>
    <w:rsid w:val="003F560B"/>
    <w:rsid w:val="003F64A3"/>
    <w:rsid w:val="003F735B"/>
    <w:rsid w:val="0040120D"/>
    <w:rsid w:val="004035C2"/>
    <w:rsid w:val="00404048"/>
    <w:rsid w:val="00404871"/>
    <w:rsid w:val="004049CF"/>
    <w:rsid w:val="0040508F"/>
    <w:rsid w:val="00406B9C"/>
    <w:rsid w:val="0040716B"/>
    <w:rsid w:val="00407CBE"/>
    <w:rsid w:val="00407ED3"/>
    <w:rsid w:val="00412C4B"/>
    <w:rsid w:val="00414404"/>
    <w:rsid w:val="00414AA4"/>
    <w:rsid w:val="004169DF"/>
    <w:rsid w:val="00416E87"/>
    <w:rsid w:val="004178E5"/>
    <w:rsid w:val="004203E0"/>
    <w:rsid w:val="00420C73"/>
    <w:rsid w:val="00421D87"/>
    <w:rsid w:val="00422362"/>
    <w:rsid w:val="00422DE5"/>
    <w:rsid w:val="00424F6D"/>
    <w:rsid w:val="004250F8"/>
    <w:rsid w:val="00425336"/>
    <w:rsid w:val="00425692"/>
    <w:rsid w:val="00427906"/>
    <w:rsid w:val="00432C9E"/>
    <w:rsid w:val="00433B1F"/>
    <w:rsid w:val="00433E0F"/>
    <w:rsid w:val="004341F6"/>
    <w:rsid w:val="004368F9"/>
    <w:rsid w:val="004375F5"/>
    <w:rsid w:val="00437C4F"/>
    <w:rsid w:val="00437D50"/>
    <w:rsid w:val="00441226"/>
    <w:rsid w:val="00442AEB"/>
    <w:rsid w:val="00442BCA"/>
    <w:rsid w:val="004435F5"/>
    <w:rsid w:val="004439A4"/>
    <w:rsid w:val="004444F6"/>
    <w:rsid w:val="00444F08"/>
    <w:rsid w:val="004458A3"/>
    <w:rsid w:val="00445EB0"/>
    <w:rsid w:val="00446E5A"/>
    <w:rsid w:val="0044774E"/>
    <w:rsid w:val="004500AF"/>
    <w:rsid w:val="004511DA"/>
    <w:rsid w:val="00451BD0"/>
    <w:rsid w:val="00451DD4"/>
    <w:rsid w:val="0045204E"/>
    <w:rsid w:val="004524AB"/>
    <w:rsid w:val="0045262F"/>
    <w:rsid w:val="00452777"/>
    <w:rsid w:val="0045355A"/>
    <w:rsid w:val="004547EF"/>
    <w:rsid w:val="00454A89"/>
    <w:rsid w:val="0045609F"/>
    <w:rsid w:val="004569F6"/>
    <w:rsid w:val="00456CF6"/>
    <w:rsid w:val="0045777A"/>
    <w:rsid w:val="00457CF9"/>
    <w:rsid w:val="00457F3E"/>
    <w:rsid w:val="00460636"/>
    <w:rsid w:val="004612E2"/>
    <w:rsid w:val="00462597"/>
    <w:rsid w:val="00462805"/>
    <w:rsid w:val="00462DF7"/>
    <w:rsid w:val="00463CB2"/>
    <w:rsid w:val="00464517"/>
    <w:rsid w:val="004660A1"/>
    <w:rsid w:val="004677B7"/>
    <w:rsid w:val="00467E1E"/>
    <w:rsid w:val="00470F0C"/>
    <w:rsid w:val="00471727"/>
    <w:rsid w:val="00471B9C"/>
    <w:rsid w:val="00472C8B"/>
    <w:rsid w:val="00473269"/>
    <w:rsid w:val="00475AC3"/>
    <w:rsid w:val="00476E1C"/>
    <w:rsid w:val="004775B3"/>
    <w:rsid w:val="00477B1F"/>
    <w:rsid w:val="00481FB7"/>
    <w:rsid w:val="004831CF"/>
    <w:rsid w:val="0048343C"/>
    <w:rsid w:val="0048386C"/>
    <w:rsid w:val="0048399B"/>
    <w:rsid w:val="004861BE"/>
    <w:rsid w:val="0048660D"/>
    <w:rsid w:val="0048768D"/>
    <w:rsid w:val="00487DE2"/>
    <w:rsid w:val="004906C0"/>
    <w:rsid w:val="00490700"/>
    <w:rsid w:val="00490BD3"/>
    <w:rsid w:val="004917F3"/>
    <w:rsid w:val="00494995"/>
    <w:rsid w:val="00494F13"/>
    <w:rsid w:val="00495D17"/>
    <w:rsid w:val="004966AC"/>
    <w:rsid w:val="00496EEC"/>
    <w:rsid w:val="0049714F"/>
    <w:rsid w:val="004A0EA6"/>
    <w:rsid w:val="004A1D35"/>
    <w:rsid w:val="004A1F11"/>
    <w:rsid w:val="004A3788"/>
    <w:rsid w:val="004A3FD7"/>
    <w:rsid w:val="004A4136"/>
    <w:rsid w:val="004A4BDB"/>
    <w:rsid w:val="004A5970"/>
    <w:rsid w:val="004A61F1"/>
    <w:rsid w:val="004A7A2A"/>
    <w:rsid w:val="004B0B93"/>
    <w:rsid w:val="004B18CC"/>
    <w:rsid w:val="004B352F"/>
    <w:rsid w:val="004B35EB"/>
    <w:rsid w:val="004B4360"/>
    <w:rsid w:val="004B63F3"/>
    <w:rsid w:val="004B63F9"/>
    <w:rsid w:val="004B76DC"/>
    <w:rsid w:val="004B7B92"/>
    <w:rsid w:val="004C127C"/>
    <w:rsid w:val="004C2247"/>
    <w:rsid w:val="004C2A39"/>
    <w:rsid w:val="004C2B2F"/>
    <w:rsid w:val="004C2BD7"/>
    <w:rsid w:val="004C31F5"/>
    <w:rsid w:val="004C4120"/>
    <w:rsid w:val="004C41BF"/>
    <w:rsid w:val="004C4ECE"/>
    <w:rsid w:val="004C5201"/>
    <w:rsid w:val="004C6DC7"/>
    <w:rsid w:val="004C707B"/>
    <w:rsid w:val="004D0B4C"/>
    <w:rsid w:val="004D1CD9"/>
    <w:rsid w:val="004D2D7E"/>
    <w:rsid w:val="004D3AE8"/>
    <w:rsid w:val="004D4189"/>
    <w:rsid w:val="004D4FB6"/>
    <w:rsid w:val="004D6CB7"/>
    <w:rsid w:val="004D70B5"/>
    <w:rsid w:val="004D7259"/>
    <w:rsid w:val="004E047B"/>
    <w:rsid w:val="004E18E5"/>
    <w:rsid w:val="004E1B76"/>
    <w:rsid w:val="004E1F9D"/>
    <w:rsid w:val="004E1FB7"/>
    <w:rsid w:val="004E2738"/>
    <w:rsid w:val="004E2976"/>
    <w:rsid w:val="004E3279"/>
    <w:rsid w:val="004E3AB3"/>
    <w:rsid w:val="004E3AD9"/>
    <w:rsid w:val="004E4894"/>
    <w:rsid w:val="004E63A1"/>
    <w:rsid w:val="004E7685"/>
    <w:rsid w:val="004E7B01"/>
    <w:rsid w:val="004E7FB3"/>
    <w:rsid w:val="004F04C1"/>
    <w:rsid w:val="004F063D"/>
    <w:rsid w:val="004F142A"/>
    <w:rsid w:val="004F193B"/>
    <w:rsid w:val="004F1C2D"/>
    <w:rsid w:val="004F1EAC"/>
    <w:rsid w:val="004F2737"/>
    <w:rsid w:val="004F331C"/>
    <w:rsid w:val="004F5535"/>
    <w:rsid w:val="004F5857"/>
    <w:rsid w:val="004F5949"/>
    <w:rsid w:val="004F5B7B"/>
    <w:rsid w:val="004F69E7"/>
    <w:rsid w:val="004F71DA"/>
    <w:rsid w:val="004F7FC1"/>
    <w:rsid w:val="00500412"/>
    <w:rsid w:val="005013A8"/>
    <w:rsid w:val="005017D4"/>
    <w:rsid w:val="00501C79"/>
    <w:rsid w:val="0050234B"/>
    <w:rsid w:val="0050294D"/>
    <w:rsid w:val="00502FC8"/>
    <w:rsid w:val="00503185"/>
    <w:rsid w:val="005035C1"/>
    <w:rsid w:val="005037D2"/>
    <w:rsid w:val="0050398D"/>
    <w:rsid w:val="00503AE6"/>
    <w:rsid w:val="005047B9"/>
    <w:rsid w:val="0050487A"/>
    <w:rsid w:val="00504964"/>
    <w:rsid w:val="00504FAF"/>
    <w:rsid w:val="00505A48"/>
    <w:rsid w:val="00505EED"/>
    <w:rsid w:val="005063BC"/>
    <w:rsid w:val="00507194"/>
    <w:rsid w:val="00507327"/>
    <w:rsid w:val="00507357"/>
    <w:rsid w:val="00507DA9"/>
    <w:rsid w:val="00510110"/>
    <w:rsid w:val="00510B0D"/>
    <w:rsid w:val="00510FF8"/>
    <w:rsid w:val="00511EDE"/>
    <w:rsid w:val="005126A7"/>
    <w:rsid w:val="00512F2A"/>
    <w:rsid w:val="005135FE"/>
    <w:rsid w:val="0051403A"/>
    <w:rsid w:val="00514251"/>
    <w:rsid w:val="0051451A"/>
    <w:rsid w:val="00515419"/>
    <w:rsid w:val="0051561A"/>
    <w:rsid w:val="00516509"/>
    <w:rsid w:val="005167C1"/>
    <w:rsid w:val="00516A63"/>
    <w:rsid w:val="00517C59"/>
    <w:rsid w:val="00517F15"/>
    <w:rsid w:val="0052040D"/>
    <w:rsid w:val="00520ADB"/>
    <w:rsid w:val="0052200F"/>
    <w:rsid w:val="00524127"/>
    <w:rsid w:val="0052428F"/>
    <w:rsid w:val="00525A1E"/>
    <w:rsid w:val="00525AC6"/>
    <w:rsid w:val="00525B82"/>
    <w:rsid w:val="00526E6D"/>
    <w:rsid w:val="0053034F"/>
    <w:rsid w:val="00530604"/>
    <w:rsid w:val="00532174"/>
    <w:rsid w:val="0053705A"/>
    <w:rsid w:val="005378E3"/>
    <w:rsid w:val="00537CBF"/>
    <w:rsid w:val="00540D84"/>
    <w:rsid w:val="0054127A"/>
    <w:rsid w:val="00541648"/>
    <w:rsid w:val="00543AA7"/>
    <w:rsid w:val="00543BFD"/>
    <w:rsid w:val="00544563"/>
    <w:rsid w:val="005454D5"/>
    <w:rsid w:val="00545C99"/>
    <w:rsid w:val="005471A2"/>
    <w:rsid w:val="00550C45"/>
    <w:rsid w:val="0055128F"/>
    <w:rsid w:val="005521D2"/>
    <w:rsid w:val="00552B4C"/>
    <w:rsid w:val="005552C9"/>
    <w:rsid w:val="00555A15"/>
    <w:rsid w:val="00555C85"/>
    <w:rsid w:val="00557A8E"/>
    <w:rsid w:val="00557B6F"/>
    <w:rsid w:val="00557E97"/>
    <w:rsid w:val="00557EFA"/>
    <w:rsid w:val="00560C2B"/>
    <w:rsid w:val="0056238C"/>
    <w:rsid w:val="00564883"/>
    <w:rsid w:val="005648F8"/>
    <w:rsid w:val="0056494B"/>
    <w:rsid w:val="00566E72"/>
    <w:rsid w:val="00567045"/>
    <w:rsid w:val="005672C5"/>
    <w:rsid w:val="00567388"/>
    <w:rsid w:val="0057002C"/>
    <w:rsid w:val="005700D7"/>
    <w:rsid w:val="00570822"/>
    <w:rsid w:val="00571E31"/>
    <w:rsid w:val="00572008"/>
    <w:rsid w:val="00572647"/>
    <w:rsid w:val="005727C3"/>
    <w:rsid w:val="00572918"/>
    <w:rsid w:val="00573708"/>
    <w:rsid w:val="00575EA3"/>
    <w:rsid w:val="00576366"/>
    <w:rsid w:val="00577870"/>
    <w:rsid w:val="005778C4"/>
    <w:rsid w:val="00577B73"/>
    <w:rsid w:val="0058138D"/>
    <w:rsid w:val="00582074"/>
    <w:rsid w:val="00582369"/>
    <w:rsid w:val="00582D37"/>
    <w:rsid w:val="00583332"/>
    <w:rsid w:val="00583CE1"/>
    <w:rsid w:val="00583E7D"/>
    <w:rsid w:val="00584B27"/>
    <w:rsid w:val="00585B62"/>
    <w:rsid w:val="00586A29"/>
    <w:rsid w:val="0058717F"/>
    <w:rsid w:val="00591A20"/>
    <w:rsid w:val="00593660"/>
    <w:rsid w:val="005936BF"/>
    <w:rsid w:val="005937A0"/>
    <w:rsid w:val="0059437B"/>
    <w:rsid w:val="00594C81"/>
    <w:rsid w:val="00595154"/>
    <w:rsid w:val="00596A12"/>
    <w:rsid w:val="005976F9"/>
    <w:rsid w:val="005A0E21"/>
    <w:rsid w:val="005A10F3"/>
    <w:rsid w:val="005A130D"/>
    <w:rsid w:val="005A1A2B"/>
    <w:rsid w:val="005A32C7"/>
    <w:rsid w:val="005A4042"/>
    <w:rsid w:val="005A4B3E"/>
    <w:rsid w:val="005A4BB7"/>
    <w:rsid w:val="005A4D03"/>
    <w:rsid w:val="005A6831"/>
    <w:rsid w:val="005A6AC9"/>
    <w:rsid w:val="005A768D"/>
    <w:rsid w:val="005A7B93"/>
    <w:rsid w:val="005B338F"/>
    <w:rsid w:val="005B3CE0"/>
    <w:rsid w:val="005B408F"/>
    <w:rsid w:val="005B5762"/>
    <w:rsid w:val="005B5AE7"/>
    <w:rsid w:val="005B5B0B"/>
    <w:rsid w:val="005B7926"/>
    <w:rsid w:val="005C1CB8"/>
    <w:rsid w:val="005C24BC"/>
    <w:rsid w:val="005C24E4"/>
    <w:rsid w:val="005C4B1D"/>
    <w:rsid w:val="005C7293"/>
    <w:rsid w:val="005CA645"/>
    <w:rsid w:val="005D0E33"/>
    <w:rsid w:val="005D1981"/>
    <w:rsid w:val="005D270D"/>
    <w:rsid w:val="005D3316"/>
    <w:rsid w:val="005D3520"/>
    <w:rsid w:val="005D359C"/>
    <w:rsid w:val="005D510F"/>
    <w:rsid w:val="005D5C5F"/>
    <w:rsid w:val="005D685C"/>
    <w:rsid w:val="005D70A3"/>
    <w:rsid w:val="005D752A"/>
    <w:rsid w:val="005D75AD"/>
    <w:rsid w:val="005D7ECA"/>
    <w:rsid w:val="005D7F21"/>
    <w:rsid w:val="005E0992"/>
    <w:rsid w:val="005E0C87"/>
    <w:rsid w:val="005E25D7"/>
    <w:rsid w:val="005E2C2E"/>
    <w:rsid w:val="005E4BCF"/>
    <w:rsid w:val="005E5717"/>
    <w:rsid w:val="005E5E62"/>
    <w:rsid w:val="005E613A"/>
    <w:rsid w:val="005E7528"/>
    <w:rsid w:val="005E7A0F"/>
    <w:rsid w:val="005F04DE"/>
    <w:rsid w:val="005F34F1"/>
    <w:rsid w:val="005F383E"/>
    <w:rsid w:val="005F4B8B"/>
    <w:rsid w:val="005F6882"/>
    <w:rsid w:val="005F7736"/>
    <w:rsid w:val="00600007"/>
    <w:rsid w:val="006003E2"/>
    <w:rsid w:val="006016BD"/>
    <w:rsid w:val="00601A62"/>
    <w:rsid w:val="00602B57"/>
    <w:rsid w:val="00602D4C"/>
    <w:rsid w:val="00603026"/>
    <w:rsid w:val="006041A4"/>
    <w:rsid w:val="00604823"/>
    <w:rsid w:val="006054FD"/>
    <w:rsid w:val="00605630"/>
    <w:rsid w:val="00606527"/>
    <w:rsid w:val="00606664"/>
    <w:rsid w:val="00606EDC"/>
    <w:rsid w:val="00606F6B"/>
    <w:rsid w:val="0060734A"/>
    <w:rsid w:val="00607409"/>
    <w:rsid w:val="006075BF"/>
    <w:rsid w:val="00607E59"/>
    <w:rsid w:val="00610195"/>
    <w:rsid w:val="00610CEB"/>
    <w:rsid w:val="00610DDA"/>
    <w:rsid w:val="006112A6"/>
    <w:rsid w:val="0061154C"/>
    <w:rsid w:val="00612645"/>
    <w:rsid w:val="00612C7F"/>
    <w:rsid w:val="00612D80"/>
    <w:rsid w:val="00613B46"/>
    <w:rsid w:val="006149AC"/>
    <w:rsid w:val="006167F8"/>
    <w:rsid w:val="00616C64"/>
    <w:rsid w:val="00616E3E"/>
    <w:rsid w:val="00616E9B"/>
    <w:rsid w:val="00617597"/>
    <w:rsid w:val="00617987"/>
    <w:rsid w:val="00617C22"/>
    <w:rsid w:val="006202EF"/>
    <w:rsid w:val="006210D6"/>
    <w:rsid w:val="00621D5A"/>
    <w:rsid w:val="00623525"/>
    <w:rsid w:val="00624E2C"/>
    <w:rsid w:val="00625463"/>
    <w:rsid w:val="00625720"/>
    <w:rsid w:val="006278F1"/>
    <w:rsid w:val="00630508"/>
    <w:rsid w:val="0063051B"/>
    <w:rsid w:val="00631584"/>
    <w:rsid w:val="00631C9E"/>
    <w:rsid w:val="006338EE"/>
    <w:rsid w:val="0063474E"/>
    <w:rsid w:val="00634904"/>
    <w:rsid w:val="00634A18"/>
    <w:rsid w:val="00634B5F"/>
    <w:rsid w:val="00637804"/>
    <w:rsid w:val="00641501"/>
    <w:rsid w:val="0064171F"/>
    <w:rsid w:val="00641AAF"/>
    <w:rsid w:val="00642641"/>
    <w:rsid w:val="0064319F"/>
    <w:rsid w:val="006444EF"/>
    <w:rsid w:val="00645E57"/>
    <w:rsid w:val="006460FC"/>
    <w:rsid w:val="00646E6A"/>
    <w:rsid w:val="006478A4"/>
    <w:rsid w:val="00647A87"/>
    <w:rsid w:val="00647B8E"/>
    <w:rsid w:val="0065066F"/>
    <w:rsid w:val="0065185B"/>
    <w:rsid w:val="006535F2"/>
    <w:rsid w:val="00655796"/>
    <w:rsid w:val="0065698D"/>
    <w:rsid w:val="00660538"/>
    <w:rsid w:val="00660BEB"/>
    <w:rsid w:val="0066190F"/>
    <w:rsid w:val="00661936"/>
    <w:rsid w:val="00661E0A"/>
    <w:rsid w:val="00662F92"/>
    <w:rsid w:val="00662FE1"/>
    <w:rsid w:val="00663926"/>
    <w:rsid w:val="00664425"/>
    <w:rsid w:val="006648E3"/>
    <w:rsid w:val="006651DE"/>
    <w:rsid w:val="00666654"/>
    <w:rsid w:val="0066752E"/>
    <w:rsid w:val="00667AC8"/>
    <w:rsid w:val="0067174A"/>
    <w:rsid w:val="00672094"/>
    <w:rsid w:val="00672AA4"/>
    <w:rsid w:val="006741F4"/>
    <w:rsid w:val="006744F3"/>
    <w:rsid w:val="00675A5D"/>
    <w:rsid w:val="00676DD4"/>
    <w:rsid w:val="00677FCD"/>
    <w:rsid w:val="00680662"/>
    <w:rsid w:val="006807C3"/>
    <w:rsid w:val="0068126B"/>
    <w:rsid w:val="00681F04"/>
    <w:rsid w:val="0068284D"/>
    <w:rsid w:val="00682B3D"/>
    <w:rsid w:val="006834BE"/>
    <w:rsid w:val="00683F4C"/>
    <w:rsid w:val="00685306"/>
    <w:rsid w:val="00686116"/>
    <w:rsid w:val="006864C5"/>
    <w:rsid w:val="006870D3"/>
    <w:rsid w:val="00691CC9"/>
    <w:rsid w:val="00693EAB"/>
    <w:rsid w:val="006945CE"/>
    <w:rsid w:val="006958A4"/>
    <w:rsid w:val="00695D24"/>
    <w:rsid w:val="00696AF1"/>
    <w:rsid w:val="00697AC6"/>
    <w:rsid w:val="006A1017"/>
    <w:rsid w:val="006A2534"/>
    <w:rsid w:val="006A32B9"/>
    <w:rsid w:val="006A33F1"/>
    <w:rsid w:val="006A4084"/>
    <w:rsid w:val="006A4203"/>
    <w:rsid w:val="006A4F3D"/>
    <w:rsid w:val="006A5517"/>
    <w:rsid w:val="006A5E53"/>
    <w:rsid w:val="006A72E6"/>
    <w:rsid w:val="006B0B2D"/>
    <w:rsid w:val="006B0F46"/>
    <w:rsid w:val="006B1A7F"/>
    <w:rsid w:val="006B2521"/>
    <w:rsid w:val="006B3599"/>
    <w:rsid w:val="006B3D9B"/>
    <w:rsid w:val="006B466F"/>
    <w:rsid w:val="006B4831"/>
    <w:rsid w:val="006B4B5A"/>
    <w:rsid w:val="006B550D"/>
    <w:rsid w:val="006B6F45"/>
    <w:rsid w:val="006B7425"/>
    <w:rsid w:val="006C08C7"/>
    <w:rsid w:val="006C0CD0"/>
    <w:rsid w:val="006C1D83"/>
    <w:rsid w:val="006C1E92"/>
    <w:rsid w:val="006C2D8A"/>
    <w:rsid w:val="006C393C"/>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646"/>
    <w:rsid w:val="006D581B"/>
    <w:rsid w:val="006D5954"/>
    <w:rsid w:val="006D59E2"/>
    <w:rsid w:val="006D669A"/>
    <w:rsid w:val="006D675F"/>
    <w:rsid w:val="006D6F54"/>
    <w:rsid w:val="006D7842"/>
    <w:rsid w:val="006E0E29"/>
    <w:rsid w:val="006E2E57"/>
    <w:rsid w:val="006E328D"/>
    <w:rsid w:val="006E33FC"/>
    <w:rsid w:val="006E36C2"/>
    <w:rsid w:val="006E4C2E"/>
    <w:rsid w:val="006E4E80"/>
    <w:rsid w:val="006E527B"/>
    <w:rsid w:val="006E59F5"/>
    <w:rsid w:val="006E5EA4"/>
    <w:rsid w:val="006E62CC"/>
    <w:rsid w:val="006E7244"/>
    <w:rsid w:val="006E767D"/>
    <w:rsid w:val="006F1A78"/>
    <w:rsid w:val="006F1F4D"/>
    <w:rsid w:val="006F20B2"/>
    <w:rsid w:val="006F61B1"/>
    <w:rsid w:val="006F6A8F"/>
    <w:rsid w:val="006F7418"/>
    <w:rsid w:val="00702AC8"/>
    <w:rsid w:val="00703DA3"/>
    <w:rsid w:val="00703E98"/>
    <w:rsid w:val="00704ADF"/>
    <w:rsid w:val="007060D3"/>
    <w:rsid w:val="0070690B"/>
    <w:rsid w:val="00707FEE"/>
    <w:rsid w:val="0071084A"/>
    <w:rsid w:val="007125AB"/>
    <w:rsid w:val="00713AD3"/>
    <w:rsid w:val="00714405"/>
    <w:rsid w:val="00714736"/>
    <w:rsid w:val="00714D51"/>
    <w:rsid w:val="007155C1"/>
    <w:rsid w:val="00715948"/>
    <w:rsid w:val="00715C42"/>
    <w:rsid w:val="00715DAA"/>
    <w:rsid w:val="0071615B"/>
    <w:rsid w:val="007205AF"/>
    <w:rsid w:val="00720F21"/>
    <w:rsid w:val="00721020"/>
    <w:rsid w:val="0072153F"/>
    <w:rsid w:val="00722608"/>
    <w:rsid w:val="0072273A"/>
    <w:rsid w:val="00722F52"/>
    <w:rsid w:val="00723D60"/>
    <w:rsid w:val="0072439B"/>
    <w:rsid w:val="0072465F"/>
    <w:rsid w:val="00725E8B"/>
    <w:rsid w:val="00726B57"/>
    <w:rsid w:val="00727866"/>
    <w:rsid w:val="00727D3A"/>
    <w:rsid w:val="007303C6"/>
    <w:rsid w:val="00730AC3"/>
    <w:rsid w:val="0073115D"/>
    <w:rsid w:val="00732299"/>
    <w:rsid w:val="00732900"/>
    <w:rsid w:val="00732C76"/>
    <w:rsid w:val="00733189"/>
    <w:rsid w:val="00735340"/>
    <w:rsid w:val="00735B4F"/>
    <w:rsid w:val="0073675A"/>
    <w:rsid w:val="00736B00"/>
    <w:rsid w:val="00737855"/>
    <w:rsid w:val="0074048E"/>
    <w:rsid w:val="00741683"/>
    <w:rsid w:val="0074264C"/>
    <w:rsid w:val="00742BDD"/>
    <w:rsid w:val="00742F96"/>
    <w:rsid w:val="00743080"/>
    <w:rsid w:val="007449DE"/>
    <w:rsid w:val="007449F4"/>
    <w:rsid w:val="00745106"/>
    <w:rsid w:val="0074575F"/>
    <w:rsid w:val="00745CA2"/>
    <w:rsid w:val="00750EF7"/>
    <w:rsid w:val="0075164C"/>
    <w:rsid w:val="0075345A"/>
    <w:rsid w:val="007558A8"/>
    <w:rsid w:val="00756F47"/>
    <w:rsid w:val="007570F3"/>
    <w:rsid w:val="00757336"/>
    <w:rsid w:val="0075745D"/>
    <w:rsid w:val="00760597"/>
    <w:rsid w:val="00762805"/>
    <w:rsid w:val="00762CEA"/>
    <w:rsid w:val="007644DF"/>
    <w:rsid w:val="00765A6F"/>
    <w:rsid w:val="00766536"/>
    <w:rsid w:val="00766597"/>
    <w:rsid w:val="00770C28"/>
    <w:rsid w:val="00770DC0"/>
    <w:rsid w:val="00771C53"/>
    <w:rsid w:val="00771E07"/>
    <w:rsid w:val="00771EB8"/>
    <w:rsid w:val="00772478"/>
    <w:rsid w:val="00772596"/>
    <w:rsid w:val="00773602"/>
    <w:rsid w:val="007742D7"/>
    <w:rsid w:val="00774328"/>
    <w:rsid w:val="007752C9"/>
    <w:rsid w:val="00775D65"/>
    <w:rsid w:val="007764A8"/>
    <w:rsid w:val="00777895"/>
    <w:rsid w:val="00780DA9"/>
    <w:rsid w:val="00781C1B"/>
    <w:rsid w:val="00782425"/>
    <w:rsid w:val="007831B9"/>
    <w:rsid w:val="007839F7"/>
    <w:rsid w:val="007852CC"/>
    <w:rsid w:val="007863D3"/>
    <w:rsid w:val="0078745B"/>
    <w:rsid w:val="00790858"/>
    <w:rsid w:val="00790B8D"/>
    <w:rsid w:val="007912A0"/>
    <w:rsid w:val="00791934"/>
    <w:rsid w:val="007931F7"/>
    <w:rsid w:val="007933FA"/>
    <w:rsid w:val="00795C00"/>
    <w:rsid w:val="00795D22"/>
    <w:rsid w:val="00797732"/>
    <w:rsid w:val="00797CBB"/>
    <w:rsid w:val="007A0C64"/>
    <w:rsid w:val="007A0F61"/>
    <w:rsid w:val="007A14F9"/>
    <w:rsid w:val="007A1CB0"/>
    <w:rsid w:val="007A1D66"/>
    <w:rsid w:val="007A2F44"/>
    <w:rsid w:val="007A302F"/>
    <w:rsid w:val="007A3538"/>
    <w:rsid w:val="007A42AB"/>
    <w:rsid w:val="007A43F0"/>
    <w:rsid w:val="007A5454"/>
    <w:rsid w:val="007A56C8"/>
    <w:rsid w:val="007B0414"/>
    <w:rsid w:val="007B09BA"/>
    <w:rsid w:val="007B1A15"/>
    <w:rsid w:val="007B2D61"/>
    <w:rsid w:val="007B36DE"/>
    <w:rsid w:val="007B420F"/>
    <w:rsid w:val="007B490C"/>
    <w:rsid w:val="007B65E6"/>
    <w:rsid w:val="007B66E5"/>
    <w:rsid w:val="007C00BD"/>
    <w:rsid w:val="007C0211"/>
    <w:rsid w:val="007C053B"/>
    <w:rsid w:val="007C08C0"/>
    <w:rsid w:val="007C0B28"/>
    <w:rsid w:val="007C0E1D"/>
    <w:rsid w:val="007C0E31"/>
    <w:rsid w:val="007C179B"/>
    <w:rsid w:val="007C2C37"/>
    <w:rsid w:val="007C3184"/>
    <w:rsid w:val="007C3ADD"/>
    <w:rsid w:val="007C4084"/>
    <w:rsid w:val="007C42DF"/>
    <w:rsid w:val="007C4597"/>
    <w:rsid w:val="007C46D9"/>
    <w:rsid w:val="007C4849"/>
    <w:rsid w:val="007C611C"/>
    <w:rsid w:val="007C6C05"/>
    <w:rsid w:val="007C6E89"/>
    <w:rsid w:val="007D0B64"/>
    <w:rsid w:val="007D116E"/>
    <w:rsid w:val="007D17CC"/>
    <w:rsid w:val="007D352C"/>
    <w:rsid w:val="007D4385"/>
    <w:rsid w:val="007D448B"/>
    <w:rsid w:val="007D4C5C"/>
    <w:rsid w:val="007D4F46"/>
    <w:rsid w:val="007D584F"/>
    <w:rsid w:val="007D6499"/>
    <w:rsid w:val="007D667F"/>
    <w:rsid w:val="007D6F65"/>
    <w:rsid w:val="007D7110"/>
    <w:rsid w:val="007D77DB"/>
    <w:rsid w:val="007E0555"/>
    <w:rsid w:val="007E0B56"/>
    <w:rsid w:val="007E2C4B"/>
    <w:rsid w:val="007E40F6"/>
    <w:rsid w:val="007E4269"/>
    <w:rsid w:val="007E512D"/>
    <w:rsid w:val="007E5780"/>
    <w:rsid w:val="007E608B"/>
    <w:rsid w:val="007E697B"/>
    <w:rsid w:val="007E6B77"/>
    <w:rsid w:val="007E759C"/>
    <w:rsid w:val="007F08D3"/>
    <w:rsid w:val="007F0982"/>
    <w:rsid w:val="007F0BB0"/>
    <w:rsid w:val="007F1A13"/>
    <w:rsid w:val="007F2776"/>
    <w:rsid w:val="007F382A"/>
    <w:rsid w:val="007F3A9D"/>
    <w:rsid w:val="007F3D87"/>
    <w:rsid w:val="007F4832"/>
    <w:rsid w:val="007F6C8F"/>
    <w:rsid w:val="007F7799"/>
    <w:rsid w:val="00800C9F"/>
    <w:rsid w:val="00801598"/>
    <w:rsid w:val="00801E2A"/>
    <w:rsid w:val="008025B8"/>
    <w:rsid w:val="00802640"/>
    <w:rsid w:val="00802967"/>
    <w:rsid w:val="00802BC0"/>
    <w:rsid w:val="008035E9"/>
    <w:rsid w:val="00804279"/>
    <w:rsid w:val="008048B7"/>
    <w:rsid w:val="00804C03"/>
    <w:rsid w:val="008056BE"/>
    <w:rsid w:val="00805D99"/>
    <w:rsid w:val="00805E55"/>
    <w:rsid w:val="0080677D"/>
    <w:rsid w:val="008079FE"/>
    <w:rsid w:val="00807F37"/>
    <w:rsid w:val="008101EC"/>
    <w:rsid w:val="008110E3"/>
    <w:rsid w:val="008124C8"/>
    <w:rsid w:val="00812610"/>
    <w:rsid w:val="00812769"/>
    <w:rsid w:val="00812B1D"/>
    <w:rsid w:val="00812C6D"/>
    <w:rsid w:val="0081545F"/>
    <w:rsid w:val="00816454"/>
    <w:rsid w:val="0081675F"/>
    <w:rsid w:val="0081698A"/>
    <w:rsid w:val="0081733C"/>
    <w:rsid w:val="00821C6F"/>
    <w:rsid w:val="00822203"/>
    <w:rsid w:val="008222AD"/>
    <w:rsid w:val="008228C2"/>
    <w:rsid w:val="00822A19"/>
    <w:rsid w:val="00824C75"/>
    <w:rsid w:val="008250DE"/>
    <w:rsid w:val="008275A8"/>
    <w:rsid w:val="00831223"/>
    <w:rsid w:val="00831251"/>
    <w:rsid w:val="00831C15"/>
    <w:rsid w:val="00831CFC"/>
    <w:rsid w:val="0083275A"/>
    <w:rsid w:val="008333DF"/>
    <w:rsid w:val="00834E19"/>
    <w:rsid w:val="008350A8"/>
    <w:rsid w:val="00836E31"/>
    <w:rsid w:val="00837BB1"/>
    <w:rsid w:val="008407DC"/>
    <w:rsid w:val="00842376"/>
    <w:rsid w:val="0084317D"/>
    <w:rsid w:val="0084427A"/>
    <w:rsid w:val="0084485C"/>
    <w:rsid w:val="00845101"/>
    <w:rsid w:val="00845399"/>
    <w:rsid w:val="00845A0C"/>
    <w:rsid w:val="00845C86"/>
    <w:rsid w:val="00846063"/>
    <w:rsid w:val="008474D8"/>
    <w:rsid w:val="00847F98"/>
    <w:rsid w:val="00850B41"/>
    <w:rsid w:val="00853D4F"/>
    <w:rsid w:val="00854917"/>
    <w:rsid w:val="00854F17"/>
    <w:rsid w:val="00856701"/>
    <w:rsid w:val="0085724A"/>
    <w:rsid w:val="00860B0D"/>
    <w:rsid w:val="00860C45"/>
    <w:rsid w:val="008645B5"/>
    <w:rsid w:val="008661A6"/>
    <w:rsid w:val="0086657B"/>
    <w:rsid w:val="00866953"/>
    <w:rsid w:val="00866C93"/>
    <w:rsid w:val="008678AB"/>
    <w:rsid w:val="00867981"/>
    <w:rsid w:val="00867C2D"/>
    <w:rsid w:val="008700F0"/>
    <w:rsid w:val="008706CE"/>
    <w:rsid w:val="00870F6B"/>
    <w:rsid w:val="008718DA"/>
    <w:rsid w:val="00871A67"/>
    <w:rsid w:val="00871FDD"/>
    <w:rsid w:val="00874C2A"/>
    <w:rsid w:val="00874EA9"/>
    <w:rsid w:val="00875582"/>
    <w:rsid w:val="0087646C"/>
    <w:rsid w:val="008766F3"/>
    <w:rsid w:val="0087779F"/>
    <w:rsid w:val="008778AC"/>
    <w:rsid w:val="00877BA3"/>
    <w:rsid w:val="00880D50"/>
    <w:rsid w:val="00881226"/>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919"/>
    <w:rsid w:val="0089104F"/>
    <w:rsid w:val="00892787"/>
    <w:rsid w:val="00893359"/>
    <w:rsid w:val="008938F9"/>
    <w:rsid w:val="00893ADA"/>
    <w:rsid w:val="00893BD1"/>
    <w:rsid w:val="00894E4A"/>
    <w:rsid w:val="00894FE8"/>
    <w:rsid w:val="0089774B"/>
    <w:rsid w:val="00897E39"/>
    <w:rsid w:val="008A1A36"/>
    <w:rsid w:val="008A1EEB"/>
    <w:rsid w:val="008A1FE4"/>
    <w:rsid w:val="008A3865"/>
    <w:rsid w:val="008A6055"/>
    <w:rsid w:val="008A6C83"/>
    <w:rsid w:val="008A719C"/>
    <w:rsid w:val="008B0C60"/>
    <w:rsid w:val="008B3B68"/>
    <w:rsid w:val="008B486A"/>
    <w:rsid w:val="008B58DC"/>
    <w:rsid w:val="008B633B"/>
    <w:rsid w:val="008B791B"/>
    <w:rsid w:val="008C24F1"/>
    <w:rsid w:val="008C2B3E"/>
    <w:rsid w:val="008C319E"/>
    <w:rsid w:val="008C452E"/>
    <w:rsid w:val="008C4A55"/>
    <w:rsid w:val="008C523A"/>
    <w:rsid w:val="008C72E1"/>
    <w:rsid w:val="008C735F"/>
    <w:rsid w:val="008D1487"/>
    <w:rsid w:val="008D1E9F"/>
    <w:rsid w:val="008D4963"/>
    <w:rsid w:val="008D5B63"/>
    <w:rsid w:val="008D5EB0"/>
    <w:rsid w:val="008D6FC4"/>
    <w:rsid w:val="008E00EF"/>
    <w:rsid w:val="008E0138"/>
    <w:rsid w:val="008E0945"/>
    <w:rsid w:val="008E17DC"/>
    <w:rsid w:val="008E2801"/>
    <w:rsid w:val="008E6444"/>
    <w:rsid w:val="008E712A"/>
    <w:rsid w:val="008E7345"/>
    <w:rsid w:val="008F0359"/>
    <w:rsid w:val="008F0703"/>
    <w:rsid w:val="008F16D4"/>
    <w:rsid w:val="008F1AAC"/>
    <w:rsid w:val="008F1C58"/>
    <w:rsid w:val="008F332E"/>
    <w:rsid w:val="008F3ED3"/>
    <w:rsid w:val="008F4D4D"/>
    <w:rsid w:val="008F5553"/>
    <w:rsid w:val="008F5C32"/>
    <w:rsid w:val="008F5FB7"/>
    <w:rsid w:val="008F7B85"/>
    <w:rsid w:val="009002A0"/>
    <w:rsid w:val="0090100A"/>
    <w:rsid w:val="009010E6"/>
    <w:rsid w:val="00901D34"/>
    <w:rsid w:val="0090202A"/>
    <w:rsid w:val="0090226C"/>
    <w:rsid w:val="009023F8"/>
    <w:rsid w:val="00902F36"/>
    <w:rsid w:val="009032F7"/>
    <w:rsid w:val="00903A7B"/>
    <w:rsid w:val="0090480E"/>
    <w:rsid w:val="00904912"/>
    <w:rsid w:val="00905BC6"/>
    <w:rsid w:val="0090601D"/>
    <w:rsid w:val="0090611B"/>
    <w:rsid w:val="00906648"/>
    <w:rsid w:val="00906904"/>
    <w:rsid w:val="00906FD1"/>
    <w:rsid w:val="009073AD"/>
    <w:rsid w:val="009078DA"/>
    <w:rsid w:val="00910543"/>
    <w:rsid w:val="0091066B"/>
    <w:rsid w:val="009137D3"/>
    <w:rsid w:val="00913BD6"/>
    <w:rsid w:val="00914DCB"/>
    <w:rsid w:val="00915335"/>
    <w:rsid w:val="009165FE"/>
    <w:rsid w:val="009167D5"/>
    <w:rsid w:val="00916C46"/>
    <w:rsid w:val="00916CD3"/>
    <w:rsid w:val="00920B74"/>
    <w:rsid w:val="00921A0C"/>
    <w:rsid w:val="00921E5F"/>
    <w:rsid w:val="009232C3"/>
    <w:rsid w:val="00924520"/>
    <w:rsid w:val="009251DD"/>
    <w:rsid w:val="009257E2"/>
    <w:rsid w:val="0092610F"/>
    <w:rsid w:val="00927B52"/>
    <w:rsid w:val="009323C8"/>
    <w:rsid w:val="0093266D"/>
    <w:rsid w:val="009337A0"/>
    <w:rsid w:val="00934189"/>
    <w:rsid w:val="0093435B"/>
    <w:rsid w:val="0093545F"/>
    <w:rsid w:val="00935C65"/>
    <w:rsid w:val="00936169"/>
    <w:rsid w:val="009366EF"/>
    <w:rsid w:val="009403F2"/>
    <w:rsid w:val="009406EC"/>
    <w:rsid w:val="00941166"/>
    <w:rsid w:val="00941EFB"/>
    <w:rsid w:val="0094378D"/>
    <w:rsid w:val="00945181"/>
    <w:rsid w:val="00945C8C"/>
    <w:rsid w:val="00945D04"/>
    <w:rsid w:val="009463E0"/>
    <w:rsid w:val="00947F68"/>
    <w:rsid w:val="00951779"/>
    <w:rsid w:val="00952365"/>
    <w:rsid w:val="00952BB3"/>
    <w:rsid w:val="00954000"/>
    <w:rsid w:val="009564D1"/>
    <w:rsid w:val="0095678F"/>
    <w:rsid w:val="009578BC"/>
    <w:rsid w:val="00960199"/>
    <w:rsid w:val="00962992"/>
    <w:rsid w:val="00962B4B"/>
    <w:rsid w:val="00963F75"/>
    <w:rsid w:val="009640B3"/>
    <w:rsid w:val="009641C5"/>
    <w:rsid w:val="009647A3"/>
    <w:rsid w:val="0096482B"/>
    <w:rsid w:val="00964B6A"/>
    <w:rsid w:val="00964CF2"/>
    <w:rsid w:val="009669B1"/>
    <w:rsid w:val="00966B3D"/>
    <w:rsid w:val="00967113"/>
    <w:rsid w:val="009674BC"/>
    <w:rsid w:val="009708EB"/>
    <w:rsid w:val="00971F51"/>
    <w:rsid w:val="00972356"/>
    <w:rsid w:val="00972634"/>
    <w:rsid w:val="0097279A"/>
    <w:rsid w:val="0097281C"/>
    <w:rsid w:val="00972F1B"/>
    <w:rsid w:val="009735DD"/>
    <w:rsid w:val="00973D1E"/>
    <w:rsid w:val="0097512A"/>
    <w:rsid w:val="009827F9"/>
    <w:rsid w:val="009838E9"/>
    <w:rsid w:val="0098560C"/>
    <w:rsid w:val="00986C6F"/>
    <w:rsid w:val="00987D40"/>
    <w:rsid w:val="00990420"/>
    <w:rsid w:val="00990987"/>
    <w:rsid w:val="00990FA6"/>
    <w:rsid w:val="0099224E"/>
    <w:rsid w:val="00992264"/>
    <w:rsid w:val="009923F4"/>
    <w:rsid w:val="0099329F"/>
    <w:rsid w:val="00994CEC"/>
    <w:rsid w:val="00995143"/>
    <w:rsid w:val="009959C0"/>
    <w:rsid w:val="00996281"/>
    <w:rsid w:val="00996899"/>
    <w:rsid w:val="00996A2D"/>
    <w:rsid w:val="00996E92"/>
    <w:rsid w:val="009A0FD3"/>
    <w:rsid w:val="009A13CB"/>
    <w:rsid w:val="009A17EF"/>
    <w:rsid w:val="009A1DF2"/>
    <w:rsid w:val="009A3151"/>
    <w:rsid w:val="009A3157"/>
    <w:rsid w:val="009A3397"/>
    <w:rsid w:val="009A35E6"/>
    <w:rsid w:val="009A3E1D"/>
    <w:rsid w:val="009A4FE3"/>
    <w:rsid w:val="009A64D1"/>
    <w:rsid w:val="009A6AB6"/>
    <w:rsid w:val="009A776C"/>
    <w:rsid w:val="009B0A1A"/>
    <w:rsid w:val="009B1A76"/>
    <w:rsid w:val="009B2021"/>
    <w:rsid w:val="009B4787"/>
    <w:rsid w:val="009B4815"/>
    <w:rsid w:val="009B595A"/>
    <w:rsid w:val="009B5CF6"/>
    <w:rsid w:val="009B6154"/>
    <w:rsid w:val="009B6A16"/>
    <w:rsid w:val="009B6A40"/>
    <w:rsid w:val="009B7026"/>
    <w:rsid w:val="009B7047"/>
    <w:rsid w:val="009C0864"/>
    <w:rsid w:val="009C1785"/>
    <w:rsid w:val="009C51AA"/>
    <w:rsid w:val="009C5632"/>
    <w:rsid w:val="009C617C"/>
    <w:rsid w:val="009C65D6"/>
    <w:rsid w:val="009C6CFB"/>
    <w:rsid w:val="009C79E6"/>
    <w:rsid w:val="009C7C21"/>
    <w:rsid w:val="009D051D"/>
    <w:rsid w:val="009D0B89"/>
    <w:rsid w:val="009D1444"/>
    <w:rsid w:val="009D27E4"/>
    <w:rsid w:val="009D2A13"/>
    <w:rsid w:val="009D3C62"/>
    <w:rsid w:val="009D4050"/>
    <w:rsid w:val="009D44D6"/>
    <w:rsid w:val="009D453E"/>
    <w:rsid w:val="009D4D6F"/>
    <w:rsid w:val="009D54E7"/>
    <w:rsid w:val="009D6630"/>
    <w:rsid w:val="009D6F6F"/>
    <w:rsid w:val="009D7802"/>
    <w:rsid w:val="009D7876"/>
    <w:rsid w:val="009E061D"/>
    <w:rsid w:val="009E134D"/>
    <w:rsid w:val="009E42C9"/>
    <w:rsid w:val="009E4BC5"/>
    <w:rsid w:val="009F1EBD"/>
    <w:rsid w:val="009F2057"/>
    <w:rsid w:val="009F2313"/>
    <w:rsid w:val="009F3585"/>
    <w:rsid w:val="009F4104"/>
    <w:rsid w:val="009F4A7F"/>
    <w:rsid w:val="009F4AEB"/>
    <w:rsid w:val="009F51E7"/>
    <w:rsid w:val="009F63D6"/>
    <w:rsid w:val="009F6C92"/>
    <w:rsid w:val="00A02EA6"/>
    <w:rsid w:val="00A03165"/>
    <w:rsid w:val="00A036BB"/>
    <w:rsid w:val="00A03BDC"/>
    <w:rsid w:val="00A04803"/>
    <w:rsid w:val="00A04C67"/>
    <w:rsid w:val="00A04F3F"/>
    <w:rsid w:val="00A06B57"/>
    <w:rsid w:val="00A06CB6"/>
    <w:rsid w:val="00A06D4C"/>
    <w:rsid w:val="00A07490"/>
    <w:rsid w:val="00A07A72"/>
    <w:rsid w:val="00A07C0E"/>
    <w:rsid w:val="00A11414"/>
    <w:rsid w:val="00A127BA"/>
    <w:rsid w:val="00A12E43"/>
    <w:rsid w:val="00A133C8"/>
    <w:rsid w:val="00A1353D"/>
    <w:rsid w:val="00A13E7D"/>
    <w:rsid w:val="00A158CA"/>
    <w:rsid w:val="00A16638"/>
    <w:rsid w:val="00A17313"/>
    <w:rsid w:val="00A17733"/>
    <w:rsid w:val="00A20575"/>
    <w:rsid w:val="00A2062B"/>
    <w:rsid w:val="00A21511"/>
    <w:rsid w:val="00A21C89"/>
    <w:rsid w:val="00A226D7"/>
    <w:rsid w:val="00A22C06"/>
    <w:rsid w:val="00A2358E"/>
    <w:rsid w:val="00A2667C"/>
    <w:rsid w:val="00A27699"/>
    <w:rsid w:val="00A27E87"/>
    <w:rsid w:val="00A302A7"/>
    <w:rsid w:val="00A312E9"/>
    <w:rsid w:val="00A32AFA"/>
    <w:rsid w:val="00A33BF2"/>
    <w:rsid w:val="00A3401C"/>
    <w:rsid w:val="00A3527C"/>
    <w:rsid w:val="00A36594"/>
    <w:rsid w:val="00A37B98"/>
    <w:rsid w:val="00A37D35"/>
    <w:rsid w:val="00A37FF0"/>
    <w:rsid w:val="00A40951"/>
    <w:rsid w:val="00A43551"/>
    <w:rsid w:val="00A451FA"/>
    <w:rsid w:val="00A45954"/>
    <w:rsid w:val="00A4652C"/>
    <w:rsid w:val="00A46761"/>
    <w:rsid w:val="00A46DAB"/>
    <w:rsid w:val="00A46E30"/>
    <w:rsid w:val="00A5039B"/>
    <w:rsid w:val="00A509CC"/>
    <w:rsid w:val="00A50E72"/>
    <w:rsid w:val="00A512F8"/>
    <w:rsid w:val="00A51501"/>
    <w:rsid w:val="00A52043"/>
    <w:rsid w:val="00A531DB"/>
    <w:rsid w:val="00A540CB"/>
    <w:rsid w:val="00A5463E"/>
    <w:rsid w:val="00A555FD"/>
    <w:rsid w:val="00A56029"/>
    <w:rsid w:val="00A615E8"/>
    <w:rsid w:val="00A617ED"/>
    <w:rsid w:val="00A61C0E"/>
    <w:rsid w:val="00A63389"/>
    <w:rsid w:val="00A638E6"/>
    <w:rsid w:val="00A64918"/>
    <w:rsid w:val="00A674A9"/>
    <w:rsid w:val="00A70100"/>
    <w:rsid w:val="00A7043A"/>
    <w:rsid w:val="00A70B01"/>
    <w:rsid w:val="00A71414"/>
    <w:rsid w:val="00A71F61"/>
    <w:rsid w:val="00A72B9A"/>
    <w:rsid w:val="00A74A8F"/>
    <w:rsid w:val="00A75240"/>
    <w:rsid w:val="00A75718"/>
    <w:rsid w:val="00A75759"/>
    <w:rsid w:val="00A75801"/>
    <w:rsid w:val="00A759DA"/>
    <w:rsid w:val="00A75A84"/>
    <w:rsid w:val="00A75FAE"/>
    <w:rsid w:val="00A77022"/>
    <w:rsid w:val="00A7742C"/>
    <w:rsid w:val="00A80C1E"/>
    <w:rsid w:val="00A81B9D"/>
    <w:rsid w:val="00A81F3E"/>
    <w:rsid w:val="00A82118"/>
    <w:rsid w:val="00A834EF"/>
    <w:rsid w:val="00A85C9D"/>
    <w:rsid w:val="00A86AAA"/>
    <w:rsid w:val="00A8760A"/>
    <w:rsid w:val="00A8762D"/>
    <w:rsid w:val="00A87895"/>
    <w:rsid w:val="00A92A3F"/>
    <w:rsid w:val="00A93AC2"/>
    <w:rsid w:val="00A93ADA"/>
    <w:rsid w:val="00A93DFB"/>
    <w:rsid w:val="00A93FC0"/>
    <w:rsid w:val="00A94C3B"/>
    <w:rsid w:val="00A94D1C"/>
    <w:rsid w:val="00A95128"/>
    <w:rsid w:val="00A9573C"/>
    <w:rsid w:val="00A957FD"/>
    <w:rsid w:val="00A95B0A"/>
    <w:rsid w:val="00A95F42"/>
    <w:rsid w:val="00A9608D"/>
    <w:rsid w:val="00A9670C"/>
    <w:rsid w:val="00A96A04"/>
    <w:rsid w:val="00AA0C85"/>
    <w:rsid w:val="00AA1162"/>
    <w:rsid w:val="00AA3190"/>
    <w:rsid w:val="00AA41A2"/>
    <w:rsid w:val="00AA4564"/>
    <w:rsid w:val="00AB23F8"/>
    <w:rsid w:val="00AB252B"/>
    <w:rsid w:val="00AB3584"/>
    <w:rsid w:val="00AB3EA2"/>
    <w:rsid w:val="00AB5012"/>
    <w:rsid w:val="00AB56DA"/>
    <w:rsid w:val="00AB59A6"/>
    <w:rsid w:val="00AB5F83"/>
    <w:rsid w:val="00AB715A"/>
    <w:rsid w:val="00AB72C2"/>
    <w:rsid w:val="00AC15E2"/>
    <w:rsid w:val="00AC1C5E"/>
    <w:rsid w:val="00AC4200"/>
    <w:rsid w:val="00AC461E"/>
    <w:rsid w:val="00AC4F54"/>
    <w:rsid w:val="00AC528F"/>
    <w:rsid w:val="00AC56C5"/>
    <w:rsid w:val="00AC5DEA"/>
    <w:rsid w:val="00AC65FD"/>
    <w:rsid w:val="00AC669F"/>
    <w:rsid w:val="00AC6C85"/>
    <w:rsid w:val="00AC74A4"/>
    <w:rsid w:val="00AC7C5B"/>
    <w:rsid w:val="00AC7E29"/>
    <w:rsid w:val="00AD0E4E"/>
    <w:rsid w:val="00AD15CF"/>
    <w:rsid w:val="00AD26F2"/>
    <w:rsid w:val="00AD2CBD"/>
    <w:rsid w:val="00AD3130"/>
    <w:rsid w:val="00AD3289"/>
    <w:rsid w:val="00AD3595"/>
    <w:rsid w:val="00AD3706"/>
    <w:rsid w:val="00AD3858"/>
    <w:rsid w:val="00AD42A7"/>
    <w:rsid w:val="00AD51F9"/>
    <w:rsid w:val="00AD5955"/>
    <w:rsid w:val="00AD5DFC"/>
    <w:rsid w:val="00AD7EE6"/>
    <w:rsid w:val="00AE5025"/>
    <w:rsid w:val="00AE60FC"/>
    <w:rsid w:val="00AE7C80"/>
    <w:rsid w:val="00AF1511"/>
    <w:rsid w:val="00AF48F7"/>
    <w:rsid w:val="00AF5127"/>
    <w:rsid w:val="00AF5527"/>
    <w:rsid w:val="00AF58D3"/>
    <w:rsid w:val="00AF6009"/>
    <w:rsid w:val="00AF62AF"/>
    <w:rsid w:val="00AF6BA2"/>
    <w:rsid w:val="00B00069"/>
    <w:rsid w:val="00B00485"/>
    <w:rsid w:val="00B0149C"/>
    <w:rsid w:val="00B021C8"/>
    <w:rsid w:val="00B03EAC"/>
    <w:rsid w:val="00B043BD"/>
    <w:rsid w:val="00B04486"/>
    <w:rsid w:val="00B05527"/>
    <w:rsid w:val="00B05792"/>
    <w:rsid w:val="00B06009"/>
    <w:rsid w:val="00B0673B"/>
    <w:rsid w:val="00B0738F"/>
    <w:rsid w:val="00B103A8"/>
    <w:rsid w:val="00B106D4"/>
    <w:rsid w:val="00B10990"/>
    <w:rsid w:val="00B10D02"/>
    <w:rsid w:val="00B115F0"/>
    <w:rsid w:val="00B11661"/>
    <w:rsid w:val="00B13B92"/>
    <w:rsid w:val="00B13DCF"/>
    <w:rsid w:val="00B14B6C"/>
    <w:rsid w:val="00B14DF9"/>
    <w:rsid w:val="00B14FC7"/>
    <w:rsid w:val="00B15212"/>
    <w:rsid w:val="00B16B4E"/>
    <w:rsid w:val="00B170EF"/>
    <w:rsid w:val="00B177FD"/>
    <w:rsid w:val="00B22657"/>
    <w:rsid w:val="00B22912"/>
    <w:rsid w:val="00B22BCA"/>
    <w:rsid w:val="00B23B3F"/>
    <w:rsid w:val="00B25D3E"/>
    <w:rsid w:val="00B27479"/>
    <w:rsid w:val="00B302FA"/>
    <w:rsid w:val="00B3129C"/>
    <w:rsid w:val="00B31FFF"/>
    <w:rsid w:val="00B3204F"/>
    <w:rsid w:val="00B32ABA"/>
    <w:rsid w:val="00B336F9"/>
    <w:rsid w:val="00B33895"/>
    <w:rsid w:val="00B3433B"/>
    <w:rsid w:val="00B3465E"/>
    <w:rsid w:val="00B34ABF"/>
    <w:rsid w:val="00B354F7"/>
    <w:rsid w:val="00B36706"/>
    <w:rsid w:val="00B36E75"/>
    <w:rsid w:val="00B40082"/>
    <w:rsid w:val="00B419E3"/>
    <w:rsid w:val="00B4222B"/>
    <w:rsid w:val="00B43827"/>
    <w:rsid w:val="00B44851"/>
    <w:rsid w:val="00B4536B"/>
    <w:rsid w:val="00B45F04"/>
    <w:rsid w:val="00B46181"/>
    <w:rsid w:val="00B46674"/>
    <w:rsid w:val="00B46E0F"/>
    <w:rsid w:val="00B47F7C"/>
    <w:rsid w:val="00B512C7"/>
    <w:rsid w:val="00B52AEC"/>
    <w:rsid w:val="00B54241"/>
    <w:rsid w:val="00B54884"/>
    <w:rsid w:val="00B55250"/>
    <w:rsid w:val="00B5666C"/>
    <w:rsid w:val="00B56F2E"/>
    <w:rsid w:val="00B57BD7"/>
    <w:rsid w:val="00B6001F"/>
    <w:rsid w:val="00B60116"/>
    <w:rsid w:val="00B601F2"/>
    <w:rsid w:val="00B60224"/>
    <w:rsid w:val="00B60283"/>
    <w:rsid w:val="00B6160F"/>
    <w:rsid w:val="00B617D3"/>
    <w:rsid w:val="00B61FAD"/>
    <w:rsid w:val="00B6207D"/>
    <w:rsid w:val="00B62EE7"/>
    <w:rsid w:val="00B62F88"/>
    <w:rsid w:val="00B656F9"/>
    <w:rsid w:val="00B65D19"/>
    <w:rsid w:val="00B67988"/>
    <w:rsid w:val="00B71557"/>
    <w:rsid w:val="00B72A67"/>
    <w:rsid w:val="00B72B00"/>
    <w:rsid w:val="00B72CC2"/>
    <w:rsid w:val="00B73631"/>
    <w:rsid w:val="00B73738"/>
    <w:rsid w:val="00B73970"/>
    <w:rsid w:val="00B73AD5"/>
    <w:rsid w:val="00B74A4E"/>
    <w:rsid w:val="00B75B4D"/>
    <w:rsid w:val="00B76123"/>
    <w:rsid w:val="00B76329"/>
    <w:rsid w:val="00B76D81"/>
    <w:rsid w:val="00B76E41"/>
    <w:rsid w:val="00B77B05"/>
    <w:rsid w:val="00B77C6E"/>
    <w:rsid w:val="00B800F2"/>
    <w:rsid w:val="00B80584"/>
    <w:rsid w:val="00B81B8A"/>
    <w:rsid w:val="00B81DA9"/>
    <w:rsid w:val="00B82594"/>
    <w:rsid w:val="00B84865"/>
    <w:rsid w:val="00B848E6"/>
    <w:rsid w:val="00B8587E"/>
    <w:rsid w:val="00B85F66"/>
    <w:rsid w:val="00B863F7"/>
    <w:rsid w:val="00B90710"/>
    <w:rsid w:val="00B924EA"/>
    <w:rsid w:val="00B925B7"/>
    <w:rsid w:val="00B95768"/>
    <w:rsid w:val="00B95CB6"/>
    <w:rsid w:val="00B95FBB"/>
    <w:rsid w:val="00B964D2"/>
    <w:rsid w:val="00B96FFB"/>
    <w:rsid w:val="00BA1876"/>
    <w:rsid w:val="00BA2043"/>
    <w:rsid w:val="00BA3354"/>
    <w:rsid w:val="00BA39DE"/>
    <w:rsid w:val="00BA3CCD"/>
    <w:rsid w:val="00BA4806"/>
    <w:rsid w:val="00BA54EE"/>
    <w:rsid w:val="00BA56E2"/>
    <w:rsid w:val="00BA58EC"/>
    <w:rsid w:val="00BA5FFE"/>
    <w:rsid w:val="00BA723F"/>
    <w:rsid w:val="00BA7A8E"/>
    <w:rsid w:val="00BA7CE9"/>
    <w:rsid w:val="00BB1AF5"/>
    <w:rsid w:val="00BB1B31"/>
    <w:rsid w:val="00BB1BF9"/>
    <w:rsid w:val="00BB1CCC"/>
    <w:rsid w:val="00BB27A8"/>
    <w:rsid w:val="00BB29D3"/>
    <w:rsid w:val="00BB303B"/>
    <w:rsid w:val="00BB3088"/>
    <w:rsid w:val="00BB344A"/>
    <w:rsid w:val="00BB3AA8"/>
    <w:rsid w:val="00BB4BC1"/>
    <w:rsid w:val="00BB5449"/>
    <w:rsid w:val="00BB62EB"/>
    <w:rsid w:val="00BB6436"/>
    <w:rsid w:val="00BB6935"/>
    <w:rsid w:val="00BB6B04"/>
    <w:rsid w:val="00BB723D"/>
    <w:rsid w:val="00BB738E"/>
    <w:rsid w:val="00BC01C7"/>
    <w:rsid w:val="00BC2939"/>
    <w:rsid w:val="00BC3442"/>
    <w:rsid w:val="00BC47F3"/>
    <w:rsid w:val="00BC4ED0"/>
    <w:rsid w:val="00BC5751"/>
    <w:rsid w:val="00BC5948"/>
    <w:rsid w:val="00BC59D9"/>
    <w:rsid w:val="00BC62CD"/>
    <w:rsid w:val="00BC67A7"/>
    <w:rsid w:val="00BC6CA0"/>
    <w:rsid w:val="00BC7DD4"/>
    <w:rsid w:val="00BD1316"/>
    <w:rsid w:val="00BD33A6"/>
    <w:rsid w:val="00BD3819"/>
    <w:rsid w:val="00BD3E51"/>
    <w:rsid w:val="00BD42C5"/>
    <w:rsid w:val="00BD47B2"/>
    <w:rsid w:val="00BD6124"/>
    <w:rsid w:val="00BD6855"/>
    <w:rsid w:val="00BD6A4F"/>
    <w:rsid w:val="00BD6C1F"/>
    <w:rsid w:val="00BE047B"/>
    <w:rsid w:val="00BE1506"/>
    <w:rsid w:val="00BE1CE6"/>
    <w:rsid w:val="00BE235E"/>
    <w:rsid w:val="00BE2831"/>
    <w:rsid w:val="00BE3A7B"/>
    <w:rsid w:val="00BE5049"/>
    <w:rsid w:val="00BF0683"/>
    <w:rsid w:val="00BF4BD5"/>
    <w:rsid w:val="00BF4CB7"/>
    <w:rsid w:val="00BF4FAD"/>
    <w:rsid w:val="00BF6B52"/>
    <w:rsid w:val="00BF6BE2"/>
    <w:rsid w:val="00BF74BF"/>
    <w:rsid w:val="00BF78AF"/>
    <w:rsid w:val="00C00869"/>
    <w:rsid w:val="00C00DC1"/>
    <w:rsid w:val="00C01872"/>
    <w:rsid w:val="00C01CAD"/>
    <w:rsid w:val="00C025E2"/>
    <w:rsid w:val="00C03390"/>
    <w:rsid w:val="00C035ED"/>
    <w:rsid w:val="00C05B74"/>
    <w:rsid w:val="00C06623"/>
    <w:rsid w:val="00C06EEB"/>
    <w:rsid w:val="00C071F3"/>
    <w:rsid w:val="00C1069E"/>
    <w:rsid w:val="00C1093E"/>
    <w:rsid w:val="00C11BAF"/>
    <w:rsid w:val="00C12D2E"/>
    <w:rsid w:val="00C12E4C"/>
    <w:rsid w:val="00C12E52"/>
    <w:rsid w:val="00C13C15"/>
    <w:rsid w:val="00C13D79"/>
    <w:rsid w:val="00C15573"/>
    <w:rsid w:val="00C16FB1"/>
    <w:rsid w:val="00C17CA5"/>
    <w:rsid w:val="00C20F5F"/>
    <w:rsid w:val="00C2439E"/>
    <w:rsid w:val="00C24AD1"/>
    <w:rsid w:val="00C2532C"/>
    <w:rsid w:val="00C254F2"/>
    <w:rsid w:val="00C26B1E"/>
    <w:rsid w:val="00C3007A"/>
    <w:rsid w:val="00C30BA3"/>
    <w:rsid w:val="00C32ABB"/>
    <w:rsid w:val="00C33328"/>
    <w:rsid w:val="00C3422C"/>
    <w:rsid w:val="00C350AE"/>
    <w:rsid w:val="00C35710"/>
    <w:rsid w:val="00C362DC"/>
    <w:rsid w:val="00C37433"/>
    <w:rsid w:val="00C409CD"/>
    <w:rsid w:val="00C40B4A"/>
    <w:rsid w:val="00C40DAD"/>
    <w:rsid w:val="00C40F2C"/>
    <w:rsid w:val="00C417E3"/>
    <w:rsid w:val="00C41F05"/>
    <w:rsid w:val="00C42CEC"/>
    <w:rsid w:val="00C434AA"/>
    <w:rsid w:val="00C44067"/>
    <w:rsid w:val="00C4406E"/>
    <w:rsid w:val="00C44BD7"/>
    <w:rsid w:val="00C44F1C"/>
    <w:rsid w:val="00C45598"/>
    <w:rsid w:val="00C46735"/>
    <w:rsid w:val="00C46C9E"/>
    <w:rsid w:val="00C4773C"/>
    <w:rsid w:val="00C477AB"/>
    <w:rsid w:val="00C478CF"/>
    <w:rsid w:val="00C50F50"/>
    <w:rsid w:val="00C51EB4"/>
    <w:rsid w:val="00C52B40"/>
    <w:rsid w:val="00C53AA8"/>
    <w:rsid w:val="00C53E4F"/>
    <w:rsid w:val="00C56289"/>
    <w:rsid w:val="00C56B08"/>
    <w:rsid w:val="00C5760B"/>
    <w:rsid w:val="00C61139"/>
    <w:rsid w:val="00C6129F"/>
    <w:rsid w:val="00C61D5E"/>
    <w:rsid w:val="00C6252F"/>
    <w:rsid w:val="00C628C3"/>
    <w:rsid w:val="00C63D76"/>
    <w:rsid w:val="00C66B5D"/>
    <w:rsid w:val="00C672D5"/>
    <w:rsid w:val="00C674F5"/>
    <w:rsid w:val="00C67B84"/>
    <w:rsid w:val="00C67F10"/>
    <w:rsid w:val="00C700B6"/>
    <w:rsid w:val="00C7135D"/>
    <w:rsid w:val="00C7227F"/>
    <w:rsid w:val="00C722B7"/>
    <w:rsid w:val="00C74EC1"/>
    <w:rsid w:val="00C76DB6"/>
    <w:rsid w:val="00C77329"/>
    <w:rsid w:val="00C77838"/>
    <w:rsid w:val="00C8005C"/>
    <w:rsid w:val="00C80C49"/>
    <w:rsid w:val="00C82A45"/>
    <w:rsid w:val="00C82D34"/>
    <w:rsid w:val="00C849E4"/>
    <w:rsid w:val="00C85A74"/>
    <w:rsid w:val="00C8762B"/>
    <w:rsid w:val="00C87FE1"/>
    <w:rsid w:val="00C90019"/>
    <w:rsid w:val="00C90877"/>
    <w:rsid w:val="00C90BEE"/>
    <w:rsid w:val="00C9251A"/>
    <w:rsid w:val="00C93EAE"/>
    <w:rsid w:val="00C94914"/>
    <w:rsid w:val="00C9676E"/>
    <w:rsid w:val="00C97753"/>
    <w:rsid w:val="00CA01FE"/>
    <w:rsid w:val="00CA19FF"/>
    <w:rsid w:val="00CA1AF6"/>
    <w:rsid w:val="00CA230A"/>
    <w:rsid w:val="00CA3325"/>
    <w:rsid w:val="00CA3DEB"/>
    <w:rsid w:val="00CA686E"/>
    <w:rsid w:val="00CA6BE5"/>
    <w:rsid w:val="00CA7869"/>
    <w:rsid w:val="00CB105D"/>
    <w:rsid w:val="00CB1356"/>
    <w:rsid w:val="00CB15AD"/>
    <w:rsid w:val="00CB1976"/>
    <w:rsid w:val="00CB1F67"/>
    <w:rsid w:val="00CB1FD2"/>
    <w:rsid w:val="00CB44D9"/>
    <w:rsid w:val="00CB52D1"/>
    <w:rsid w:val="00CB5664"/>
    <w:rsid w:val="00CC02AC"/>
    <w:rsid w:val="00CC0721"/>
    <w:rsid w:val="00CC07F1"/>
    <w:rsid w:val="00CC0B90"/>
    <w:rsid w:val="00CC22C9"/>
    <w:rsid w:val="00CC2573"/>
    <w:rsid w:val="00CC28FB"/>
    <w:rsid w:val="00CC360E"/>
    <w:rsid w:val="00CC49A4"/>
    <w:rsid w:val="00CC4ECC"/>
    <w:rsid w:val="00CC52AE"/>
    <w:rsid w:val="00CC763C"/>
    <w:rsid w:val="00CC7847"/>
    <w:rsid w:val="00CC7A16"/>
    <w:rsid w:val="00CD072F"/>
    <w:rsid w:val="00CD0D0A"/>
    <w:rsid w:val="00CD1BAA"/>
    <w:rsid w:val="00CD2513"/>
    <w:rsid w:val="00CD2BBC"/>
    <w:rsid w:val="00CD3568"/>
    <w:rsid w:val="00CD3695"/>
    <w:rsid w:val="00CD3FDA"/>
    <w:rsid w:val="00CD55D5"/>
    <w:rsid w:val="00CD5E02"/>
    <w:rsid w:val="00CD67A9"/>
    <w:rsid w:val="00CD7C2A"/>
    <w:rsid w:val="00CE00DA"/>
    <w:rsid w:val="00CE1281"/>
    <w:rsid w:val="00CE1B32"/>
    <w:rsid w:val="00CE1CC0"/>
    <w:rsid w:val="00CE1DE1"/>
    <w:rsid w:val="00CE2ACD"/>
    <w:rsid w:val="00CE360C"/>
    <w:rsid w:val="00CE4CAE"/>
    <w:rsid w:val="00CE62A4"/>
    <w:rsid w:val="00CE6BBE"/>
    <w:rsid w:val="00CE7B11"/>
    <w:rsid w:val="00CF06A8"/>
    <w:rsid w:val="00CF0E91"/>
    <w:rsid w:val="00CF1B2D"/>
    <w:rsid w:val="00CF2526"/>
    <w:rsid w:val="00CF2CCC"/>
    <w:rsid w:val="00CF2FCB"/>
    <w:rsid w:val="00CF43D5"/>
    <w:rsid w:val="00CF7E87"/>
    <w:rsid w:val="00D00C84"/>
    <w:rsid w:val="00D01C6D"/>
    <w:rsid w:val="00D02EB9"/>
    <w:rsid w:val="00D032C6"/>
    <w:rsid w:val="00D06855"/>
    <w:rsid w:val="00D07811"/>
    <w:rsid w:val="00D11467"/>
    <w:rsid w:val="00D114C9"/>
    <w:rsid w:val="00D11B4D"/>
    <w:rsid w:val="00D129DA"/>
    <w:rsid w:val="00D144A6"/>
    <w:rsid w:val="00D1592B"/>
    <w:rsid w:val="00D169F2"/>
    <w:rsid w:val="00D16FA9"/>
    <w:rsid w:val="00D17E8E"/>
    <w:rsid w:val="00D202C3"/>
    <w:rsid w:val="00D20C18"/>
    <w:rsid w:val="00D20CBE"/>
    <w:rsid w:val="00D22424"/>
    <w:rsid w:val="00D2243E"/>
    <w:rsid w:val="00D245AC"/>
    <w:rsid w:val="00D247D3"/>
    <w:rsid w:val="00D2570F"/>
    <w:rsid w:val="00D259A3"/>
    <w:rsid w:val="00D25CF2"/>
    <w:rsid w:val="00D26469"/>
    <w:rsid w:val="00D31460"/>
    <w:rsid w:val="00D31855"/>
    <w:rsid w:val="00D31AA3"/>
    <w:rsid w:val="00D3205B"/>
    <w:rsid w:val="00D321A0"/>
    <w:rsid w:val="00D324D9"/>
    <w:rsid w:val="00D332B8"/>
    <w:rsid w:val="00D33D9E"/>
    <w:rsid w:val="00D359F9"/>
    <w:rsid w:val="00D37021"/>
    <w:rsid w:val="00D4030F"/>
    <w:rsid w:val="00D4037B"/>
    <w:rsid w:val="00D40413"/>
    <w:rsid w:val="00D409B6"/>
    <w:rsid w:val="00D40C00"/>
    <w:rsid w:val="00D41623"/>
    <w:rsid w:val="00D42183"/>
    <w:rsid w:val="00D42707"/>
    <w:rsid w:val="00D43613"/>
    <w:rsid w:val="00D43A47"/>
    <w:rsid w:val="00D445E3"/>
    <w:rsid w:val="00D464D8"/>
    <w:rsid w:val="00D47458"/>
    <w:rsid w:val="00D50E7C"/>
    <w:rsid w:val="00D5113C"/>
    <w:rsid w:val="00D5160E"/>
    <w:rsid w:val="00D5195A"/>
    <w:rsid w:val="00D51F32"/>
    <w:rsid w:val="00D53048"/>
    <w:rsid w:val="00D53B37"/>
    <w:rsid w:val="00D54AF9"/>
    <w:rsid w:val="00D54D78"/>
    <w:rsid w:val="00D5587A"/>
    <w:rsid w:val="00D56053"/>
    <w:rsid w:val="00D576EA"/>
    <w:rsid w:val="00D577FC"/>
    <w:rsid w:val="00D57931"/>
    <w:rsid w:val="00D6035F"/>
    <w:rsid w:val="00D61D60"/>
    <w:rsid w:val="00D61D9F"/>
    <w:rsid w:val="00D61DCE"/>
    <w:rsid w:val="00D61EF1"/>
    <w:rsid w:val="00D62411"/>
    <w:rsid w:val="00D63C57"/>
    <w:rsid w:val="00D63E13"/>
    <w:rsid w:val="00D64C09"/>
    <w:rsid w:val="00D65C53"/>
    <w:rsid w:val="00D65F67"/>
    <w:rsid w:val="00D67E66"/>
    <w:rsid w:val="00D70202"/>
    <w:rsid w:val="00D7063A"/>
    <w:rsid w:val="00D72DB9"/>
    <w:rsid w:val="00D73806"/>
    <w:rsid w:val="00D74D02"/>
    <w:rsid w:val="00D75B2B"/>
    <w:rsid w:val="00D75B74"/>
    <w:rsid w:val="00D75B89"/>
    <w:rsid w:val="00D7631F"/>
    <w:rsid w:val="00D776B7"/>
    <w:rsid w:val="00D808B4"/>
    <w:rsid w:val="00D814DE"/>
    <w:rsid w:val="00D818A9"/>
    <w:rsid w:val="00D82BE8"/>
    <w:rsid w:val="00D82F53"/>
    <w:rsid w:val="00D83EE3"/>
    <w:rsid w:val="00D85133"/>
    <w:rsid w:val="00D8589A"/>
    <w:rsid w:val="00D868C3"/>
    <w:rsid w:val="00D90820"/>
    <w:rsid w:val="00D90AE1"/>
    <w:rsid w:val="00D90EFB"/>
    <w:rsid w:val="00D922A9"/>
    <w:rsid w:val="00D92460"/>
    <w:rsid w:val="00D92877"/>
    <w:rsid w:val="00D92886"/>
    <w:rsid w:val="00D93107"/>
    <w:rsid w:val="00D944EB"/>
    <w:rsid w:val="00D95077"/>
    <w:rsid w:val="00D95DA2"/>
    <w:rsid w:val="00D96230"/>
    <w:rsid w:val="00D966F6"/>
    <w:rsid w:val="00D96E73"/>
    <w:rsid w:val="00DA1742"/>
    <w:rsid w:val="00DA24C7"/>
    <w:rsid w:val="00DA2902"/>
    <w:rsid w:val="00DA3897"/>
    <w:rsid w:val="00DA3B32"/>
    <w:rsid w:val="00DA4291"/>
    <w:rsid w:val="00DA5A0E"/>
    <w:rsid w:val="00DA6A6A"/>
    <w:rsid w:val="00DA7DCB"/>
    <w:rsid w:val="00DB07A9"/>
    <w:rsid w:val="00DB18A3"/>
    <w:rsid w:val="00DB1EE3"/>
    <w:rsid w:val="00DB1F97"/>
    <w:rsid w:val="00DB2170"/>
    <w:rsid w:val="00DB3B0E"/>
    <w:rsid w:val="00DB3BBB"/>
    <w:rsid w:val="00DB3D86"/>
    <w:rsid w:val="00DB51D6"/>
    <w:rsid w:val="00DB5E30"/>
    <w:rsid w:val="00DB6447"/>
    <w:rsid w:val="00DB6A6B"/>
    <w:rsid w:val="00DB7C11"/>
    <w:rsid w:val="00DC014A"/>
    <w:rsid w:val="00DC164D"/>
    <w:rsid w:val="00DC256C"/>
    <w:rsid w:val="00DC2577"/>
    <w:rsid w:val="00DC370E"/>
    <w:rsid w:val="00DC413C"/>
    <w:rsid w:val="00DC4865"/>
    <w:rsid w:val="00DC51A5"/>
    <w:rsid w:val="00DC5769"/>
    <w:rsid w:val="00DC5A03"/>
    <w:rsid w:val="00DC5C6E"/>
    <w:rsid w:val="00DC60F9"/>
    <w:rsid w:val="00DC620E"/>
    <w:rsid w:val="00DC622A"/>
    <w:rsid w:val="00DC6900"/>
    <w:rsid w:val="00DC7A5C"/>
    <w:rsid w:val="00DD06C6"/>
    <w:rsid w:val="00DD15D7"/>
    <w:rsid w:val="00DD19EF"/>
    <w:rsid w:val="00DD27A5"/>
    <w:rsid w:val="00DD3684"/>
    <w:rsid w:val="00DD38A4"/>
    <w:rsid w:val="00DD41AD"/>
    <w:rsid w:val="00DD46EC"/>
    <w:rsid w:val="00DD69AA"/>
    <w:rsid w:val="00DE1029"/>
    <w:rsid w:val="00DE263E"/>
    <w:rsid w:val="00DE27B0"/>
    <w:rsid w:val="00DE2D67"/>
    <w:rsid w:val="00DE3556"/>
    <w:rsid w:val="00DE35FA"/>
    <w:rsid w:val="00DE36B1"/>
    <w:rsid w:val="00DE404E"/>
    <w:rsid w:val="00DE42DC"/>
    <w:rsid w:val="00DE475C"/>
    <w:rsid w:val="00DE4784"/>
    <w:rsid w:val="00DE5B08"/>
    <w:rsid w:val="00DE63A7"/>
    <w:rsid w:val="00DE6888"/>
    <w:rsid w:val="00DE6EDD"/>
    <w:rsid w:val="00DE709A"/>
    <w:rsid w:val="00DE7A67"/>
    <w:rsid w:val="00DF1B72"/>
    <w:rsid w:val="00DF2717"/>
    <w:rsid w:val="00DF40CD"/>
    <w:rsid w:val="00DF4F30"/>
    <w:rsid w:val="00DF51AD"/>
    <w:rsid w:val="00DF51E1"/>
    <w:rsid w:val="00DF5F98"/>
    <w:rsid w:val="00DF6046"/>
    <w:rsid w:val="00E00279"/>
    <w:rsid w:val="00E03044"/>
    <w:rsid w:val="00E03D9E"/>
    <w:rsid w:val="00E04BE3"/>
    <w:rsid w:val="00E05020"/>
    <w:rsid w:val="00E05188"/>
    <w:rsid w:val="00E054D1"/>
    <w:rsid w:val="00E06941"/>
    <w:rsid w:val="00E06CCF"/>
    <w:rsid w:val="00E0779B"/>
    <w:rsid w:val="00E07F7D"/>
    <w:rsid w:val="00E10C43"/>
    <w:rsid w:val="00E10D64"/>
    <w:rsid w:val="00E11441"/>
    <w:rsid w:val="00E117D6"/>
    <w:rsid w:val="00E136BA"/>
    <w:rsid w:val="00E137DB"/>
    <w:rsid w:val="00E13F18"/>
    <w:rsid w:val="00E14458"/>
    <w:rsid w:val="00E153A1"/>
    <w:rsid w:val="00E15C63"/>
    <w:rsid w:val="00E168E0"/>
    <w:rsid w:val="00E16E44"/>
    <w:rsid w:val="00E173A9"/>
    <w:rsid w:val="00E177D9"/>
    <w:rsid w:val="00E20A1F"/>
    <w:rsid w:val="00E2111D"/>
    <w:rsid w:val="00E21796"/>
    <w:rsid w:val="00E218DD"/>
    <w:rsid w:val="00E21BEC"/>
    <w:rsid w:val="00E25826"/>
    <w:rsid w:val="00E26752"/>
    <w:rsid w:val="00E268F4"/>
    <w:rsid w:val="00E27009"/>
    <w:rsid w:val="00E30147"/>
    <w:rsid w:val="00E32612"/>
    <w:rsid w:val="00E33428"/>
    <w:rsid w:val="00E336F5"/>
    <w:rsid w:val="00E33B51"/>
    <w:rsid w:val="00E3446C"/>
    <w:rsid w:val="00E34B1B"/>
    <w:rsid w:val="00E34D53"/>
    <w:rsid w:val="00E359BA"/>
    <w:rsid w:val="00E35D25"/>
    <w:rsid w:val="00E36005"/>
    <w:rsid w:val="00E36353"/>
    <w:rsid w:val="00E36D96"/>
    <w:rsid w:val="00E376AC"/>
    <w:rsid w:val="00E40D4C"/>
    <w:rsid w:val="00E41646"/>
    <w:rsid w:val="00E41EE7"/>
    <w:rsid w:val="00E43746"/>
    <w:rsid w:val="00E44298"/>
    <w:rsid w:val="00E44D85"/>
    <w:rsid w:val="00E452F2"/>
    <w:rsid w:val="00E457A7"/>
    <w:rsid w:val="00E45E01"/>
    <w:rsid w:val="00E45FC7"/>
    <w:rsid w:val="00E46958"/>
    <w:rsid w:val="00E46DD2"/>
    <w:rsid w:val="00E47681"/>
    <w:rsid w:val="00E50D94"/>
    <w:rsid w:val="00E5158E"/>
    <w:rsid w:val="00E52E7F"/>
    <w:rsid w:val="00E530A4"/>
    <w:rsid w:val="00E53110"/>
    <w:rsid w:val="00E5338E"/>
    <w:rsid w:val="00E53BF5"/>
    <w:rsid w:val="00E53E6A"/>
    <w:rsid w:val="00E54C8B"/>
    <w:rsid w:val="00E55AD2"/>
    <w:rsid w:val="00E56666"/>
    <w:rsid w:val="00E56A9D"/>
    <w:rsid w:val="00E5745F"/>
    <w:rsid w:val="00E575E4"/>
    <w:rsid w:val="00E577F6"/>
    <w:rsid w:val="00E60188"/>
    <w:rsid w:val="00E60D1E"/>
    <w:rsid w:val="00E60EB1"/>
    <w:rsid w:val="00E6108E"/>
    <w:rsid w:val="00E62DCE"/>
    <w:rsid w:val="00E6429C"/>
    <w:rsid w:val="00E66163"/>
    <w:rsid w:val="00E67452"/>
    <w:rsid w:val="00E7064F"/>
    <w:rsid w:val="00E70D36"/>
    <w:rsid w:val="00E718C3"/>
    <w:rsid w:val="00E72A0A"/>
    <w:rsid w:val="00E72E64"/>
    <w:rsid w:val="00E73F6B"/>
    <w:rsid w:val="00E75653"/>
    <w:rsid w:val="00E75833"/>
    <w:rsid w:val="00E76AE9"/>
    <w:rsid w:val="00E801D0"/>
    <w:rsid w:val="00E816FA"/>
    <w:rsid w:val="00E8277C"/>
    <w:rsid w:val="00E83921"/>
    <w:rsid w:val="00E83B55"/>
    <w:rsid w:val="00E84DDF"/>
    <w:rsid w:val="00E85DAA"/>
    <w:rsid w:val="00E862D5"/>
    <w:rsid w:val="00E86967"/>
    <w:rsid w:val="00E87ACE"/>
    <w:rsid w:val="00E87E42"/>
    <w:rsid w:val="00E90280"/>
    <w:rsid w:val="00E90328"/>
    <w:rsid w:val="00E90EAA"/>
    <w:rsid w:val="00E910F0"/>
    <w:rsid w:val="00E923AD"/>
    <w:rsid w:val="00E925DB"/>
    <w:rsid w:val="00E92D80"/>
    <w:rsid w:val="00E936BA"/>
    <w:rsid w:val="00E951A6"/>
    <w:rsid w:val="00E95712"/>
    <w:rsid w:val="00E960C4"/>
    <w:rsid w:val="00E9667B"/>
    <w:rsid w:val="00E96690"/>
    <w:rsid w:val="00EA11F2"/>
    <w:rsid w:val="00EA12D5"/>
    <w:rsid w:val="00EA137B"/>
    <w:rsid w:val="00EA14FC"/>
    <w:rsid w:val="00EA19B0"/>
    <w:rsid w:val="00EA1E34"/>
    <w:rsid w:val="00EA2480"/>
    <w:rsid w:val="00EA2750"/>
    <w:rsid w:val="00EA2E68"/>
    <w:rsid w:val="00EA37F8"/>
    <w:rsid w:val="00EA3DAA"/>
    <w:rsid w:val="00EA5677"/>
    <w:rsid w:val="00EA65F1"/>
    <w:rsid w:val="00EA7F75"/>
    <w:rsid w:val="00EB01FF"/>
    <w:rsid w:val="00EB0500"/>
    <w:rsid w:val="00EB0521"/>
    <w:rsid w:val="00EB162B"/>
    <w:rsid w:val="00EB40ED"/>
    <w:rsid w:val="00EB471C"/>
    <w:rsid w:val="00EB5327"/>
    <w:rsid w:val="00EB680B"/>
    <w:rsid w:val="00EB74A7"/>
    <w:rsid w:val="00EC0203"/>
    <w:rsid w:val="00EC03D9"/>
    <w:rsid w:val="00EC1047"/>
    <w:rsid w:val="00EC22C3"/>
    <w:rsid w:val="00EC2E00"/>
    <w:rsid w:val="00EC41FA"/>
    <w:rsid w:val="00EC47E5"/>
    <w:rsid w:val="00EC4B08"/>
    <w:rsid w:val="00EC4D04"/>
    <w:rsid w:val="00EC55B1"/>
    <w:rsid w:val="00EC5EC1"/>
    <w:rsid w:val="00EC5FE2"/>
    <w:rsid w:val="00EC6CBC"/>
    <w:rsid w:val="00ED12FC"/>
    <w:rsid w:val="00ED38FB"/>
    <w:rsid w:val="00ED3906"/>
    <w:rsid w:val="00ED4F74"/>
    <w:rsid w:val="00ED5872"/>
    <w:rsid w:val="00ED6A7A"/>
    <w:rsid w:val="00ED78FD"/>
    <w:rsid w:val="00ED7F57"/>
    <w:rsid w:val="00EE1219"/>
    <w:rsid w:val="00EE1EE2"/>
    <w:rsid w:val="00EE238B"/>
    <w:rsid w:val="00EE3741"/>
    <w:rsid w:val="00EE3F57"/>
    <w:rsid w:val="00EE487F"/>
    <w:rsid w:val="00EE6132"/>
    <w:rsid w:val="00EE6488"/>
    <w:rsid w:val="00EE6C70"/>
    <w:rsid w:val="00EF03A3"/>
    <w:rsid w:val="00EF05BA"/>
    <w:rsid w:val="00EF0D79"/>
    <w:rsid w:val="00EF1871"/>
    <w:rsid w:val="00EF285A"/>
    <w:rsid w:val="00EF2AC8"/>
    <w:rsid w:val="00EF2EBA"/>
    <w:rsid w:val="00EF30CD"/>
    <w:rsid w:val="00EF3335"/>
    <w:rsid w:val="00EF3EC3"/>
    <w:rsid w:val="00EF5126"/>
    <w:rsid w:val="00EF647D"/>
    <w:rsid w:val="00EF74AE"/>
    <w:rsid w:val="00EF7C80"/>
    <w:rsid w:val="00EF7CFF"/>
    <w:rsid w:val="00F005DF"/>
    <w:rsid w:val="00F00E2D"/>
    <w:rsid w:val="00F017AE"/>
    <w:rsid w:val="00F017DB"/>
    <w:rsid w:val="00F01EE1"/>
    <w:rsid w:val="00F01F1D"/>
    <w:rsid w:val="00F02AB9"/>
    <w:rsid w:val="00F030B8"/>
    <w:rsid w:val="00F04560"/>
    <w:rsid w:val="00F05055"/>
    <w:rsid w:val="00F058A9"/>
    <w:rsid w:val="00F06661"/>
    <w:rsid w:val="00F07F60"/>
    <w:rsid w:val="00F11408"/>
    <w:rsid w:val="00F1178A"/>
    <w:rsid w:val="00F1221A"/>
    <w:rsid w:val="00F12668"/>
    <w:rsid w:val="00F137EB"/>
    <w:rsid w:val="00F13881"/>
    <w:rsid w:val="00F15659"/>
    <w:rsid w:val="00F16B58"/>
    <w:rsid w:val="00F1702D"/>
    <w:rsid w:val="00F17A5D"/>
    <w:rsid w:val="00F200F0"/>
    <w:rsid w:val="00F20C80"/>
    <w:rsid w:val="00F21964"/>
    <w:rsid w:val="00F231F5"/>
    <w:rsid w:val="00F234DB"/>
    <w:rsid w:val="00F23577"/>
    <w:rsid w:val="00F24748"/>
    <w:rsid w:val="00F24A80"/>
    <w:rsid w:val="00F2675E"/>
    <w:rsid w:val="00F27CEF"/>
    <w:rsid w:val="00F31F9B"/>
    <w:rsid w:val="00F31FF1"/>
    <w:rsid w:val="00F325B1"/>
    <w:rsid w:val="00F32C89"/>
    <w:rsid w:val="00F331B0"/>
    <w:rsid w:val="00F34D23"/>
    <w:rsid w:val="00F350AD"/>
    <w:rsid w:val="00F35801"/>
    <w:rsid w:val="00F37D23"/>
    <w:rsid w:val="00F42219"/>
    <w:rsid w:val="00F42487"/>
    <w:rsid w:val="00F4578B"/>
    <w:rsid w:val="00F458EC"/>
    <w:rsid w:val="00F4666F"/>
    <w:rsid w:val="00F51F2F"/>
    <w:rsid w:val="00F52434"/>
    <w:rsid w:val="00F5262B"/>
    <w:rsid w:val="00F52D5B"/>
    <w:rsid w:val="00F544F9"/>
    <w:rsid w:val="00F546E9"/>
    <w:rsid w:val="00F54902"/>
    <w:rsid w:val="00F57450"/>
    <w:rsid w:val="00F61568"/>
    <w:rsid w:val="00F62B4C"/>
    <w:rsid w:val="00F62B73"/>
    <w:rsid w:val="00F63ECA"/>
    <w:rsid w:val="00F640BE"/>
    <w:rsid w:val="00F64C3B"/>
    <w:rsid w:val="00F65F3C"/>
    <w:rsid w:val="00F66BD9"/>
    <w:rsid w:val="00F66F87"/>
    <w:rsid w:val="00F67593"/>
    <w:rsid w:val="00F67A46"/>
    <w:rsid w:val="00F70C8D"/>
    <w:rsid w:val="00F757D2"/>
    <w:rsid w:val="00F75B87"/>
    <w:rsid w:val="00F768D1"/>
    <w:rsid w:val="00F7694C"/>
    <w:rsid w:val="00F77539"/>
    <w:rsid w:val="00F77685"/>
    <w:rsid w:val="00F77C32"/>
    <w:rsid w:val="00F80014"/>
    <w:rsid w:val="00F8126D"/>
    <w:rsid w:val="00F81B7E"/>
    <w:rsid w:val="00F82400"/>
    <w:rsid w:val="00F82F53"/>
    <w:rsid w:val="00F84D51"/>
    <w:rsid w:val="00F84F39"/>
    <w:rsid w:val="00F8536E"/>
    <w:rsid w:val="00F8543A"/>
    <w:rsid w:val="00F861FE"/>
    <w:rsid w:val="00F86F79"/>
    <w:rsid w:val="00F878F9"/>
    <w:rsid w:val="00F915C3"/>
    <w:rsid w:val="00F92952"/>
    <w:rsid w:val="00F9336F"/>
    <w:rsid w:val="00F935FB"/>
    <w:rsid w:val="00F94F7D"/>
    <w:rsid w:val="00F95C95"/>
    <w:rsid w:val="00F962B7"/>
    <w:rsid w:val="00FA183E"/>
    <w:rsid w:val="00FA4E6B"/>
    <w:rsid w:val="00FA5B6C"/>
    <w:rsid w:val="00FA6D9B"/>
    <w:rsid w:val="00FA71CE"/>
    <w:rsid w:val="00FA721B"/>
    <w:rsid w:val="00FA752E"/>
    <w:rsid w:val="00FA7EBA"/>
    <w:rsid w:val="00FB00C9"/>
    <w:rsid w:val="00FB0E3B"/>
    <w:rsid w:val="00FB24F3"/>
    <w:rsid w:val="00FB3B36"/>
    <w:rsid w:val="00FB40B4"/>
    <w:rsid w:val="00FB44D5"/>
    <w:rsid w:val="00FB69A1"/>
    <w:rsid w:val="00FC0823"/>
    <w:rsid w:val="00FC08CF"/>
    <w:rsid w:val="00FC0DCE"/>
    <w:rsid w:val="00FC0F91"/>
    <w:rsid w:val="00FC1F28"/>
    <w:rsid w:val="00FC1F4C"/>
    <w:rsid w:val="00FC4FE3"/>
    <w:rsid w:val="00FC50A2"/>
    <w:rsid w:val="00FC575B"/>
    <w:rsid w:val="00FC5F7B"/>
    <w:rsid w:val="00FC6C36"/>
    <w:rsid w:val="00FC7FBF"/>
    <w:rsid w:val="00FD18CA"/>
    <w:rsid w:val="00FD1A9D"/>
    <w:rsid w:val="00FD1D41"/>
    <w:rsid w:val="00FD1E5C"/>
    <w:rsid w:val="00FD35D8"/>
    <w:rsid w:val="00FD36EE"/>
    <w:rsid w:val="00FD41EB"/>
    <w:rsid w:val="00FD44A7"/>
    <w:rsid w:val="00FD4B67"/>
    <w:rsid w:val="00FD4EB0"/>
    <w:rsid w:val="00FD6398"/>
    <w:rsid w:val="00FD6FC3"/>
    <w:rsid w:val="00FD71DF"/>
    <w:rsid w:val="00FD769D"/>
    <w:rsid w:val="00FE0D6D"/>
    <w:rsid w:val="00FE12DC"/>
    <w:rsid w:val="00FE2120"/>
    <w:rsid w:val="00FE2FD3"/>
    <w:rsid w:val="00FE354C"/>
    <w:rsid w:val="00FE3B63"/>
    <w:rsid w:val="00FE4836"/>
    <w:rsid w:val="00FE63BF"/>
    <w:rsid w:val="00FE6C27"/>
    <w:rsid w:val="00FE7D18"/>
    <w:rsid w:val="00FF00A1"/>
    <w:rsid w:val="00FF023F"/>
    <w:rsid w:val="00FF1454"/>
    <w:rsid w:val="00FF24E8"/>
    <w:rsid w:val="00FF25F6"/>
    <w:rsid w:val="00FF28F7"/>
    <w:rsid w:val="00FF2A2F"/>
    <w:rsid w:val="00FF2A53"/>
    <w:rsid w:val="00FF3522"/>
    <w:rsid w:val="00FF468B"/>
    <w:rsid w:val="00FF49F1"/>
    <w:rsid w:val="00FF5E07"/>
    <w:rsid w:val="00FF6878"/>
    <w:rsid w:val="00FF74AD"/>
    <w:rsid w:val="00FF76A8"/>
    <w:rsid w:val="00FF7C97"/>
    <w:rsid w:val="01DA1421"/>
    <w:rsid w:val="01DEA67B"/>
    <w:rsid w:val="02F15347"/>
    <w:rsid w:val="02F6B924"/>
    <w:rsid w:val="03BCD0DC"/>
    <w:rsid w:val="03D4A4B1"/>
    <w:rsid w:val="03DC40AD"/>
    <w:rsid w:val="03E6DCA2"/>
    <w:rsid w:val="042572D3"/>
    <w:rsid w:val="0473BC3C"/>
    <w:rsid w:val="05069FFD"/>
    <w:rsid w:val="05A8877A"/>
    <w:rsid w:val="05F8BC91"/>
    <w:rsid w:val="0630838C"/>
    <w:rsid w:val="06457A15"/>
    <w:rsid w:val="0859A946"/>
    <w:rsid w:val="088EF67F"/>
    <w:rsid w:val="08F6091F"/>
    <w:rsid w:val="0931F627"/>
    <w:rsid w:val="09446DAB"/>
    <w:rsid w:val="09A909E9"/>
    <w:rsid w:val="09E2634D"/>
    <w:rsid w:val="0AC581E6"/>
    <w:rsid w:val="0ADBFEB7"/>
    <w:rsid w:val="0B038869"/>
    <w:rsid w:val="0B49AE48"/>
    <w:rsid w:val="0BCD30B6"/>
    <w:rsid w:val="0D2F9F9C"/>
    <w:rsid w:val="0D59D5F1"/>
    <w:rsid w:val="0DA783B8"/>
    <w:rsid w:val="0DE3E3F9"/>
    <w:rsid w:val="0EE99FEE"/>
    <w:rsid w:val="0EEED221"/>
    <w:rsid w:val="0FF6E797"/>
    <w:rsid w:val="10378663"/>
    <w:rsid w:val="1063BC96"/>
    <w:rsid w:val="1098BB02"/>
    <w:rsid w:val="10DF8D54"/>
    <w:rsid w:val="10F11BC1"/>
    <w:rsid w:val="110C967F"/>
    <w:rsid w:val="12E42C23"/>
    <w:rsid w:val="1318AF47"/>
    <w:rsid w:val="134AAD67"/>
    <w:rsid w:val="135A453C"/>
    <w:rsid w:val="1371142E"/>
    <w:rsid w:val="144E014F"/>
    <w:rsid w:val="14707F51"/>
    <w:rsid w:val="14E82E84"/>
    <w:rsid w:val="15BF1D75"/>
    <w:rsid w:val="163435F0"/>
    <w:rsid w:val="16349FAF"/>
    <w:rsid w:val="16557DDB"/>
    <w:rsid w:val="167E8339"/>
    <w:rsid w:val="17FBE4AC"/>
    <w:rsid w:val="185B87C6"/>
    <w:rsid w:val="18C6E641"/>
    <w:rsid w:val="19FDE362"/>
    <w:rsid w:val="1AA494B1"/>
    <w:rsid w:val="1AD1F2BD"/>
    <w:rsid w:val="1B4DCCF2"/>
    <w:rsid w:val="1C52539A"/>
    <w:rsid w:val="1C5F04BB"/>
    <w:rsid w:val="1C6175DD"/>
    <w:rsid w:val="1D720232"/>
    <w:rsid w:val="1E3B4CC1"/>
    <w:rsid w:val="1EA76504"/>
    <w:rsid w:val="1F164BFE"/>
    <w:rsid w:val="1F4C8635"/>
    <w:rsid w:val="1FDBAFAE"/>
    <w:rsid w:val="208014D9"/>
    <w:rsid w:val="211565AF"/>
    <w:rsid w:val="213CA46F"/>
    <w:rsid w:val="21A83DE2"/>
    <w:rsid w:val="221FF47B"/>
    <w:rsid w:val="22A96AF5"/>
    <w:rsid w:val="23B5BCC3"/>
    <w:rsid w:val="243445B2"/>
    <w:rsid w:val="24414C35"/>
    <w:rsid w:val="2451F893"/>
    <w:rsid w:val="24A95F55"/>
    <w:rsid w:val="24F1750E"/>
    <w:rsid w:val="24FEE561"/>
    <w:rsid w:val="260FE007"/>
    <w:rsid w:val="26C04D5E"/>
    <w:rsid w:val="26C27E1E"/>
    <w:rsid w:val="2744AC8F"/>
    <w:rsid w:val="274D4DAD"/>
    <w:rsid w:val="27A39C3C"/>
    <w:rsid w:val="27FC9915"/>
    <w:rsid w:val="28154B4E"/>
    <w:rsid w:val="286BFFB5"/>
    <w:rsid w:val="289E1D2D"/>
    <w:rsid w:val="291E47BE"/>
    <w:rsid w:val="29493CE2"/>
    <w:rsid w:val="2A182A0A"/>
    <w:rsid w:val="2A1E255B"/>
    <w:rsid w:val="2A41914F"/>
    <w:rsid w:val="2A5A4C3D"/>
    <w:rsid w:val="2AD14BC5"/>
    <w:rsid w:val="2B486EB7"/>
    <w:rsid w:val="2BE5CD13"/>
    <w:rsid w:val="2C5B09FB"/>
    <w:rsid w:val="2E088C42"/>
    <w:rsid w:val="2E5F2B9D"/>
    <w:rsid w:val="2F1A46CE"/>
    <w:rsid w:val="2F1EC0F8"/>
    <w:rsid w:val="2F994C2F"/>
    <w:rsid w:val="30BB2CBC"/>
    <w:rsid w:val="314157D7"/>
    <w:rsid w:val="31B68918"/>
    <w:rsid w:val="31F107B1"/>
    <w:rsid w:val="327CDD54"/>
    <w:rsid w:val="328AC81C"/>
    <w:rsid w:val="334A7976"/>
    <w:rsid w:val="3352EF06"/>
    <w:rsid w:val="33B1661B"/>
    <w:rsid w:val="33B2056F"/>
    <w:rsid w:val="3430DCC6"/>
    <w:rsid w:val="377473C8"/>
    <w:rsid w:val="37F2264F"/>
    <w:rsid w:val="389A5F52"/>
    <w:rsid w:val="38E66BBA"/>
    <w:rsid w:val="39C54E99"/>
    <w:rsid w:val="3A64CD9A"/>
    <w:rsid w:val="3B444301"/>
    <w:rsid w:val="3BC94E85"/>
    <w:rsid w:val="3BF78A3B"/>
    <w:rsid w:val="3C0B85EF"/>
    <w:rsid w:val="3C1234B5"/>
    <w:rsid w:val="3C3BEDE6"/>
    <w:rsid w:val="3C97BC55"/>
    <w:rsid w:val="3D2CDE6F"/>
    <w:rsid w:val="3D479AEB"/>
    <w:rsid w:val="3DE62E9F"/>
    <w:rsid w:val="3E824499"/>
    <w:rsid w:val="3EBD014E"/>
    <w:rsid w:val="3ED1AF38"/>
    <w:rsid w:val="3F3EE4F2"/>
    <w:rsid w:val="3F809A47"/>
    <w:rsid w:val="408A8A85"/>
    <w:rsid w:val="40B46374"/>
    <w:rsid w:val="410C06C2"/>
    <w:rsid w:val="412280BC"/>
    <w:rsid w:val="4184B011"/>
    <w:rsid w:val="420518B5"/>
    <w:rsid w:val="42BE511D"/>
    <w:rsid w:val="43201BCB"/>
    <w:rsid w:val="440CD3AE"/>
    <w:rsid w:val="44DBAE3A"/>
    <w:rsid w:val="451CE154"/>
    <w:rsid w:val="4590C02E"/>
    <w:rsid w:val="46D90183"/>
    <w:rsid w:val="46FC6165"/>
    <w:rsid w:val="4733B3CC"/>
    <w:rsid w:val="4791645E"/>
    <w:rsid w:val="47FE5610"/>
    <w:rsid w:val="48E2CAE2"/>
    <w:rsid w:val="495FD2F9"/>
    <w:rsid w:val="496B347D"/>
    <w:rsid w:val="49CBD525"/>
    <w:rsid w:val="4A8A1F0B"/>
    <w:rsid w:val="4AF3EE80"/>
    <w:rsid w:val="4B1916EE"/>
    <w:rsid w:val="4B220D1D"/>
    <w:rsid w:val="4C4ABA30"/>
    <w:rsid w:val="4CC99F31"/>
    <w:rsid w:val="4EB40D34"/>
    <w:rsid w:val="4EE73B32"/>
    <w:rsid w:val="4F7CB80B"/>
    <w:rsid w:val="4FB0F017"/>
    <w:rsid w:val="50DE5CCE"/>
    <w:rsid w:val="50FCFBC8"/>
    <w:rsid w:val="511D2F21"/>
    <w:rsid w:val="5136A61B"/>
    <w:rsid w:val="52470B43"/>
    <w:rsid w:val="52D19AFF"/>
    <w:rsid w:val="5320D571"/>
    <w:rsid w:val="5365316A"/>
    <w:rsid w:val="53656168"/>
    <w:rsid w:val="53A98B59"/>
    <w:rsid w:val="53B41474"/>
    <w:rsid w:val="53F35BE9"/>
    <w:rsid w:val="547F788D"/>
    <w:rsid w:val="54C7CB10"/>
    <w:rsid w:val="5553ABAD"/>
    <w:rsid w:val="556129AD"/>
    <w:rsid w:val="55E9E2A9"/>
    <w:rsid w:val="56497077"/>
    <w:rsid w:val="56D9F479"/>
    <w:rsid w:val="57343C09"/>
    <w:rsid w:val="574577BE"/>
    <w:rsid w:val="577DFA32"/>
    <w:rsid w:val="57C5A7CA"/>
    <w:rsid w:val="58A0E3D9"/>
    <w:rsid w:val="58B3ED84"/>
    <w:rsid w:val="5964BA00"/>
    <w:rsid w:val="59813ADF"/>
    <w:rsid w:val="5A80071F"/>
    <w:rsid w:val="5AEECFC9"/>
    <w:rsid w:val="5B6DB77B"/>
    <w:rsid w:val="5BA197F6"/>
    <w:rsid w:val="5BC77B9A"/>
    <w:rsid w:val="5BD7D49E"/>
    <w:rsid w:val="5C465DCC"/>
    <w:rsid w:val="5C72947F"/>
    <w:rsid w:val="5CCCBBA3"/>
    <w:rsid w:val="5D862009"/>
    <w:rsid w:val="5E3067E6"/>
    <w:rsid w:val="5EB9930D"/>
    <w:rsid w:val="5EBAEFB6"/>
    <w:rsid w:val="5F5355E4"/>
    <w:rsid w:val="606E5414"/>
    <w:rsid w:val="60C15EAC"/>
    <w:rsid w:val="60D5B5E4"/>
    <w:rsid w:val="615C968B"/>
    <w:rsid w:val="61BF6992"/>
    <w:rsid w:val="61FCD699"/>
    <w:rsid w:val="623EE80D"/>
    <w:rsid w:val="627502BD"/>
    <w:rsid w:val="62BCDF1D"/>
    <w:rsid w:val="63622CD7"/>
    <w:rsid w:val="639DF77A"/>
    <w:rsid w:val="6402D523"/>
    <w:rsid w:val="6421A7A8"/>
    <w:rsid w:val="645D45A6"/>
    <w:rsid w:val="64EC0379"/>
    <w:rsid w:val="6594CF9D"/>
    <w:rsid w:val="65B2BD57"/>
    <w:rsid w:val="66069238"/>
    <w:rsid w:val="6643CEA4"/>
    <w:rsid w:val="666AD7A7"/>
    <w:rsid w:val="6690D04A"/>
    <w:rsid w:val="66F56F0A"/>
    <w:rsid w:val="674A5F53"/>
    <w:rsid w:val="67B7D93E"/>
    <w:rsid w:val="695DB44B"/>
    <w:rsid w:val="6A719A02"/>
    <w:rsid w:val="6A72322E"/>
    <w:rsid w:val="6A94EB1D"/>
    <w:rsid w:val="6AA6F160"/>
    <w:rsid w:val="6AAAE155"/>
    <w:rsid w:val="6AFE2F14"/>
    <w:rsid w:val="6BD5E5AA"/>
    <w:rsid w:val="6CE7955C"/>
    <w:rsid w:val="6D12FE53"/>
    <w:rsid w:val="6D75A7A6"/>
    <w:rsid w:val="6DF950A1"/>
    <w:rsid w:val="6EEDA703"/>
    <w:rsid w:val="6EF37BC9"/>
    <w:rsid w:val="6F4AF7B9"/>
    <w:rsid w:val="705C0DB1"/>
    <w:rsid w:val="70BD3594"/>
    <w:rsid w:val="70C4B3D6"/>
    <w:rsid w:val="71061458"/>
    <w:rsid w:val="71330F8F"/>
    <w:rsid w:val="722EE50A"/>
    <w:rsid w:val="72917330"/>
    <w:rsid w:val="7317F9D6"/>
    <w:rsid w:val="7344E78B"/>
    <w:rsid w:val="73CC8A29"/>
    <w:rsid w:val="73E507F8"/>
    <w:rsid w:val="74E3BC90"/>
    <w:rsid w:val="7500BAEA"/>
    <w:rsid w:val="750971BE"/>
    <w:rsid w:val="75F6A91E"/>
    <w:rsid w:val="7629CDA6"/>
    <w:rsid w:val="7660B0D2"/>
    <w:rsid w:val="76CA5415"/>
    <w:rsid w:val="76EEFE6B"/>
    <w:rsid w:val="77A36222"/>
    <w:rsid w:val="77CB4C68"/>
    <w:rsid w:val="77D18E94"/>
    <w:rsid w:val="78E81DC2"/>
    <w:rsid w:val="7910963B"/>
    <w:rsid w:val="798248C7"/>
    <w:rsid w:val="79F94DC2"/>
    <w:rsid w:val="7A3FE14B"/>
    <w:rsid w:val="7B816D53"/>
    <w:rsid w:val="7BA52E43"/>
    <w:rsid w:val="7C3A2056"/>
    <w:rsid w:val="7C44A2B7"/>
    <w:rsid w:val="7CC84E69"/>
    <w:rsid w:val="7CD55A40"/>
    <w:rsid w:val="7DAB32EC"/>
    <w:rsid w:val="7DF9CD7D"/>
    <w:rsid w:val="7E01BB03"/>
    <w:rsid w:val="7E59C32B"/>
    <w:rsid w:val="7EA60999"/>
    <w:rsid w:val="7EB90E15"/>
    <w:rsid w:val="7EBC044D"/>
    <w:rsid w:val="7F377F5B"/>
    <w:rsid w:val="7F816B07"/>
    <w:rsid w:val="7F959DDE"/>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1B20F04A-4068-431F-8186-0782E186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3.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customXml/itemProps4.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4027</Words>
  <Characters>22152</Characters>
  <Application>Microsoft Office Word</Application>
  <DocSecurity>0</DocSecurity>
  <Lines>184</Lines>
  <Paragraphs>52</Paragraphs>
  <ScaleCrop>false</ScaleCrop>
  <Company>Microsoft</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394</cp:revision>
  <cp:lastPrinted>2023-06-23T08:22:00Z</cp:lastPrinted>
  <dcterms:created xsi:type="dcterms:W3CDTF">2023-11-26T05:38:00Z</dcterms:created>
  <dcterms:modified xsi:type="dcterms:W3CDTF">2023-12-12T15:55:00Z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